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
    <w:p>
      <w:pPr>
        <w:jc w:val="center"/>
      </w:pPr>
      <w:r>
        <w:rPr>
          <w:b/>
          <w:sz w:val="44"/>
        </w:rPr>
        <w:t>EDTA PLANT</w:t>
      </w:r>
    </w:p>
    <w:p>
      <w:pPr/>
      <w:r>
        <w:t>Laborator de Analize – Manual Tehnic Intern</w:t>
      </w:r>
    </w:p>
    <w:p>
      <w:pPr>
        <w:jc w:val="center"/>
      </w:pPr>
      <w:r>
        <w:rPr>
          <w:b/>
          <w:sz w:val="32"/>
        </w:rPr>
        <w:t>GHID TEHNIC INTERN</w:t>
      </w:r>
    </w:p>
    <w:p>
      <w:pPr/>
      <w:r>
        <w:t>Interpretarea analizelor de țesut foliar la nuc</w:t>
      </w:r>
    </w:p>
    <w:p>
      <w:pPr>
        <w:jc w:val="center"/>
      </w:pPr>
      <w:r>
        <w:rPr>
          <w:b/>
          <w:sz w:val="28"/>
        </w:rPr>
        <w:t>Juglans regia – soiul Lara</w:t>
      </w:r>
    </w:p>
    <w:p>
      <w:pPr/>
      <w:r>
        <w:t>Document intern destinat exclusiv echipei de chimiști EDTA Plant</w:t>
      </w:r>
    </w:p>
    <w:p>
      <w:pPr/>
      <w:r>
        <w:t>Standard oficial pentru prelevarea și interpretarea analizelor de țesut la soiul Lara</w:t>
      </w:r>
    </w:p>
    <w:p>
      <w:pPr/>
      <w:r>
        <w:t>Ediția 1 · Iulie 2026</w:t>
      </w:r>
    </w:p>
    <w:p>
      <w:pPr/>
      <w:r>
        <w:t>Versiune controlată – a se cita împreună cu sursele din Anexa „Surse utilizate”</w:t>
      </w:r>
    </w:p>
    <w:p>
      <w:pPr/>
    </w:p>
    <w:p>
      <w:pPr/>
      <w:r>
        <w:t>Cuprins</w:t>
      </w:r>
    </w:p>
    <w:p>
      <w:pPr/>
      <w:r>
        <w:t>Actualizați câmpul (clic dreapta → Update Field) pentru a genera cuprinsul.</w:t>
      </w:r>
    </w:p>
    <w:p>
      <w:pPr/>
    </w:p>
    <w:p>
      <w:pPr>
        <w:pStyle w:val="Heading1"/>
      </w:pPr>
      <w:r>
        <w:t>Scopul și utilizarea ghidului</w:t>
      </w:r>
    </w:p>
    <w:p>
      <w:pPr/>
      <w:r>
        <w:t>Prezentul ghid stabilește procedura internă EDTA Plant pentru prelevarea și, mai ales, interpretarea analizelor de țesut foliar la nucul comun (Juglans regia L.), cu accent pe soiul Lara. Documentul este destinat exclusiv chimiștilor laboratorului și are rol de referință tehnică la redactarea și validarea rapoartelor de analiză.</w:t>
      </w:r>
    </w:p>
    <w:p>
      <w:pPr/>
      <w:r>
        <w:t>Fiecare prag și fiecare recomandare din acest ghid este ancorată în surse științifice de încredere (universități, institute de cercetare, laboratoare de referință și articole peer-reviewed), listate integral în Bibliografie și detaliate în Anexa „Surse utilizate”. Toate linkurile au fost verificate ca fiind funcționale la data ediției.</w:t>
      </w:r>
    </w:p>
    <w:p>
      <w:pPr/>
      <w:r>
        <w:t>Precizare metodologică esențială: nu există, în literatura științifică publicată și verificabilă, praguri de interpretare a țesutului foliar validate separat pentru soiul Lara. Standardele de interpretare (carență / optim / exces) utilizate în acest ghid sunt cele generale pentru Juglans regia, stabilite de Universitatea California (UC ANR / UC Davis) și de programul de fertilizare CDFA-FREP. Ele se aplică soiului Lara ca recomandări generale pentru specie și sunt marcate explicit ca atare în text. Particularitățile Lara sunt tratate separat, la nivel agronomic și de management, acolo unde sunt demonstrate în literatură.</w:t>
      </w:r>
    </w:p>
    <w:p>
      <w:pPr>
        <w:pStyle w:val="Heading1"/>
      </w:pPr>
      <w:r>
        <w:t>1. Descrierea soiului Lara și particularități agronomice</w:t>
      </w:r>
    </w:p>
    <w:p>
      <w:pPr/>
      <w:r>
        <w:t>‘Lara’ este un soi francez de nuc (Juglans regia) obținut în cadrul programului de ameliorare INRA de la Bordeaux. Se remarcă prin pornire relativ timpurie spre mijlocie în vegetație, fructificare laterală abundentă și nucă mare, rotunjită, bine sudată, cu miez de calitate. Are o importanță deosebită în ameliorare, fiind folosit ca genitor: din încrucișarea ‘Franquette’ × ‘Lara’ au rezultat soiurile ‘Fernor’ și ‘Fernette’ (1995), iar din ‘Grosvert’ × ‘Lara’ soiul ‘Ferjean’ (1999). Pomul este viguros, precoce (intră devreme pe rod) și productiv.</w:t>
      </w:r>
    </w:p>
    <w:p>
      <w:pPr>
        <w:pStyle w:val="Heading2"/>
      </w:pPr>
      <w:r>
        <w:t>1.1. Caracteristici agronomice cheie</w:t>
      </w:r>
    </w:p>
    <w:tbl>
      <w:tblPr>
        <w:tblStyle w:val="TableGrid"/>
        <w:tblW w:type="auto" w:w="0"/>
        <w:tblLook w:firstColumn="1" w:firstRow="1" w:lastColumn="0" w:lastRow="0" w:noHBand="0" w:noVBand="1" w:val="04A0"/>
      </w:tblPr>
      <w:tblGrid>
        <w:gridCol w:w="4320"/>
        <w:gridCol w:w="4320"/>
      </w:tblGrid>
      <w:tr>
        <w:tc>
          <w:tcPr>
            <w:tcW w:type="dxa" w:w="4320"/>
          </w:tcPr>
          <w:p>
            <w:r>
              <w:rPr>
                <w:b/>
              </w:rPr>
              <w:t>Însușire</w:t>
            </w:r>
          </w:p>
        </w:tc>
        <w:tc>
          <w:tcPr>
            <w:tcW w:type="dxa" w:w="4320"/>
          </w:tcPr>
          <w:p>
            <w:r>
              <w:rPr>
                <w:b/>
              </w:rPr>
              <w:t>Descriere</w:t>
            </w:r>
          </w:p>
        </w:tc>
      </w:tr>
      <w:tr>
        <w:tc>
          <w:tcPr>
            <w:tcW w:type="dxa" w:w="4320"/>
          </w:tcPr>
          <w:p>
            <w:r>
              <w:t>Origine / an</w:t>
            </w:r>
          </w:p>
        </w:tc>
        <w:tc>
          <w:tcPr>
            <w:tcW w:type="dxa" w:w="4320"/>
          </w:tcPr>
          <w:p>
            <w:r>
              <w:t>Franța (program INRA Bordeaux); soi modern</w:t>
            </w:r>
          </w:p>
        </w:tc>
      </w:tr>
      <w:tr>
        <w:tc>
          <w:tcPr>
            <w:tcW w:type="dxa" w:w="4320"/>
          </w:tcPr>
          <w:p>
            <w:r>
              <w:t>Pornire în vegetație</w:t>
            </w:r>
          </w:p>
        </w:tc>
        <w:tc>
          <w:tcPr>
            <w:tcW w:type="dxa" w:w="4320"/>
          </w:tcPr>
          <w:p>
            <w:r>
              <w:t>Timpurie spre mijlocie</w:t>
            </w:r>
          </w:p>
        </w:tc>
      </w:tr>
      <w:tr>
        <w:tc>
          <w:tcPr>
            <w:tcW w:type="dxa" w:w="4320"/>
          </w:tcPr>
          <w:p>
            <w:r>
              <w:t>Înflorire</w:t>
            </w:r>
          </w:p>
        </w:tc>
        <w:tc>
          <w:tcPr>
            <w:tcW w:type="dxa" w:w="4320"/>
          </w:tcPr>
          <w:p>
            <w:r>
              <w:t>Protandră; necesită polenizator</w:t>
            </w:r>
          </w:p>
        </w:tc>
      </w:tr>
      <w:tr>
        <w:tc>
          <w:tcPr>
            <w:tcW w:type="dxa" w:w="4320"/>
          </w:tcPr>
          <w:p>
            <w:r>
              <w:t>Tip de fructificare</w:t>
            </w:r>
          </w:p>
        </w:tc>
        <w:tc>
          <w:tcPr>
            <w:tcW w:type="dxa" w:w="4320"/>
          </w:tcPr>
          <w:p>
            <w:r>
              <w:t>Laterală abundentă</w:t>
            </w:r>
          </w:p>
        </w:tc>
      </w:tr>
      <w:tr>
        <w:tc>
          <w:tcPr>
            <w:tcW w:type="dxa" w:w="4320"/>
          </w:tcPr>
          <w:p>
            <w:r>
              <w:t>Epoca de recoltare</w:t>
            </w:r>
          </w:p>
        </w:tc>
        <w:tc>
          <w:tcPr>
            <w:tcW w:type="dxa" w:w="4320"/>
          </w:tcPr>
          <w:p>
            <w:r>
              <w:t>Mijlocie</w:t>
            </w:r>
          </w:p>
        </w:tc>
      </w:tr>
      <w:tr>
        <w:tc>
          <w:tcPr>
            <w:tcW w:type="dxa" w:w="4320"/>
          </w:tcPr>
          <w:p>
            <w:r>
              <w:t>Fructul / miezul</w:t>
            </w:r>
          </w:p>
        </w:tc>
        <w:tc>
          <w:tcPr>
            <w:tcW w:type="dxa" w:w="4320"/>
          </w:tcPr>
          <w:p>
            <w:r>
              <w:t>Nucă mare, rotunjită, bine sudată; miez de calitate</w:t>
            </w:r>
          </w:p>
        </w:tc>
      </w:tr>
      <w:tr>
        <w:tc>
          <w:tcPr>
            <w:tcW w:type="dxa" w:w="4320"/>
          </w:tcPr>
          <w:p>
            <w:r>
              <w:t>Vigoare</w:t>
            </w:r>
          </w:p>
        </w:tc>
        <w:tc>
          <w:tcPr>
            <w:tcW w:type="dxa" w:w="4320"/>
          </w:tcPr>
          <w:p>
            <w:r>
              <w:t>Ridicată; intrare precoce pe rod, productiv</w:t>
            </w:r>
          </w:p>
        </w:tc>
      </w:tr>
      <w:tr>
        <w:tc>
          <w:tcPr>
            <w:tcW w:type="dxa" w:w="4320"/>
          </w:tcPr>
          <w:p>
            <w:r>
              <w:t>Necesar de frig</w:t>
            </w:r>
          </w:p>
        </w:tc>
        <w:tc>
          <w:tcPr>
            <w:tcW w:type="dxa" w:w="4320"/>
          </w:tcPr>
          <w:p>
            <w:r>
              <w:t>Moderat spre ridicat</w:t>
            </w:r>
          </w:p>
        </w:tc>
      </w:tr>
    </w:tbl>
    <w:p/>
    <w:p>
      <w:pPr>
        <w:pStyle w:val="Heading2"/>
      </w:pPr>
      <w:r>
        <w:t>1.2. Implicații nutriționale ale particularităților Lara</w:t>
      </w:r>
    </w:p>
    <w:p>
      <w:pPr>
        <w:pStyle w:val="ListBullet"/>
      </w:pPr>
      <w:r>
        <w:t>Producție ridicată pe fructificare laterală — încărcătura mare de fructe implică o cerere susținută de potasiu și azot în perioada de umplere a miezului; un K aflat la limita inferioară a intervalului optim trebuie tratat mai atent la un soi atât de productiv.</w:t>
      </w:r>
    </w:p>
    <w:p>
      <w:pPr>
        <w:pStyle w:val="ListBullet"/>
      </w:pPr>
      <w:r>
        <w:t>Pornire timpurie spre mijlocie — spre deosebire de soiurile foarte târzii (Franquette, Fernor), expunerea la înghețurile târzii și la bacterioza nucului (Xanthomonas arboricola pv. juglandis) este mai mare, ceea ce influențează indirect starea foliajului analizat.</w:t>
      </w:r>
    </w:p>
    <w:p>
      <w:pPr>
        <w:pStyle w:val="ListBullet"/>
      </w:pPr>
      <w:r>
        <w:t>Vigoare și precocitate — soiul fiind viguros și precoce, echilibrul azotului previne creșterea vegetativă excesivă în detrimentul fructificării.</w:t>
      </w:r>
    </w:p>
    <w:p>
      <w:pPr>
        <w:pStyle w:val="ListBullet"/>
      </w:pPr>
      <w:r>
        <w:t>Portaltoi și blackline — altoit pe portaltoi sensibili, boala liniei negre (blackline) poate genera simptome de declin fără cauză nutrițională, ce trebuie deosebite de carențe la interpretare.</w:t>
      </w:r>
    </w:p>
    <w:p>
      <w:pPr>
        <w:pStyle w:val="Heading1"/>
      </w:pPr>
      <w:r>
        <w:t>2. Obiectivele analizelor de țesut foliar</w:t>
      </w:r>
    </w:p>
    <w:p>
      <w:pPr/>
      <w:r>
        <w:t>La nuc, analiza de țesut foliar (diagnoză foliară) este instrumentul cel mai fiabil pentru evaluarea stării de nutriție a pomului – mai fiabil decât analiza de sol pentru diagnosticul carențelor de nutrienți (UC ANR / CDFA-FREP). Frunza integrează toți factorii care influențează preluarea nutrienților din sol (textură, pH, apă, sistem radicular, fertilizare).</w:t>
      </w:r>
    </w:p>
    <w:p>
      <w:pPr>
        <w:pStyle w:val="ListBullet"/>
      </w:pPr>
      <w:r>
        <w:t>evaluarea stării de nutriție a plantației și confirmarea/infirmarea unei carențe suspectate;</w:t>
      </w:r>
    </w:p>
    <w:p>
      <w:pPr>
        <w:pStyle w:val="ListBullet"/>
      </w:pPr>
      <w:r>
        <w:t>monitorizarea epuizării nutrienților pe parcursul sezonului și evaluarea eficienței programului de fertilizare;</w:t>
      </w:r>
    </w:p>
    <w:p>
      <w:pPr>
        <w:pStyle w:val="ListBullet"/>
      </w:pPr>
      <w:r>
        <w:t>diagnosticul microelementelor (Zn, B, Mn, Cu, Fe), care se determină mult mai corect prin țesut decât prin sol;</w:t>
      </w:r>
    </w:p>
    <w:p>
      <w:pPr>
        <w:pStyle w:val="ListBullet"/>
      </w:pPr>
      <w:r>
        <w:t>depistarea acumulării de săruri fitotoxice (Na, Cl, exces de B), tot mai frecventă spre finalul sezonului;</w:t>
      </w:r>
    </w:p>
    <w:p>
      <w:pPr>
        <w:pStyle w:val="ListBullet"/>
      </w:pPr>
      <w:r>
        <w:t>fundamentarea deciziilor de corecție (fertilizare la sol, fertigare, tratamente foliare).</w:t>
      </w:r>
    </w:p>
    <w:p>
      <w:pPr/>
      <w:r>
        <w:t>Analiza foliară se interpretează întotdeauna împreună cu simptomele vizuale din câmp și, unde este posibil, cu analiza de sol și de apă de irigație.</w:t>
      </w:r>
    </w:p>
    <w:p>
      <w:pPr>
        <w:pStyle w:val="Heading1"/>
      </w:pPr>
      <w:r>
        <w:t>3. Prelevarea corectă a probelor</w:t>
      </w:r>
    </w:p>
    <w:p>
      <w:pPr/>
      <w:r>
        <w:t>Corectitudinea interpretării depinde direct de respectarea protocolului de prelevare. Pragurile de interpretare din capitolul 4 sunt calibrate de UC pentru probe recoltate în iulie, din foliole terminale ale frunzelor de pe lăstari/pinteni nefructiferi. Orice abatere de la protocol trebuie notată și luată în calcul la interpretare.</w:t>
      </w:r>
    </w:p>
    <w:p>
      <w:pPr>
        <w:pStyle w:val="Heading2"/>
      </w:pPr>
      <w:r>
        <w:t>3.1. Perioada optimă și fenofaza recomandată</w:t>
      </w:r>
    </w:p>
    <w:p>
      <w:pPr>
        <w:pStyle w:val="ListBullet"/>
      </w:pPr>
      <w:r>
        <w:t>Concentrația nutrienților în frunze scade în general pe parcursul sezonului de vegetație. Cea mai mică variație se produce între sfârșitul lunii iunie și iulie – de aceea aceasta este fereastra standard de prelevare.</w:t>
      </w:r>
    </w:p>
    <w:p>
      <w:pPr>
        <w:pStyle w:val="ListBullet"/>
      </w:pPr>
      <w:r>
        <w:t>Pragurile de referință UC sunt corelate cu probe recoltate în IULIE. Probele recoltate în alte perioade trebuie interpretate prin interpolare, cunoscând sensul de variație sezonieră.</w:t>
      </w:r>
    </w:p>
    <w:p>
      <w:pPr>
        <w:pStyle w:val="ListBullet"/>
      </w:pPr>
      <w:r>
        <w:t>Fenofază: nuci în dezvoltare / umplerea miezului (vară), pe frunze complet dezvoltate și mature, dar înainte de senescență. La Lara, care pornește timpuriu spre mijlocul sezonului, frunzele ating maturitatea relativ devreme, dar fereastra de prelevare foliară din iulie rămâne reperul standard.</w:t>
      </w:r>
    </w:p>
    <w:p>
      <w:pPr>
        <w:pStyle w:val="ListBullet"/>
      </w:pPr>
      <w:r>
        <w:t>Nu se prelevează imediat după tratamente foliare cu îngrășăminte (rezultate fals ridicate, în special la Zn, B, Cu, Mn).</w:t>
      </w:r>
    </w:p>
    <w:p>
      <w:pPr>
        <w:pStyle w:val="Heading2"/>
      </w:pPr>
      <w:r>
        <w:t>3.2. Tipul frunzelor, poziția în coroană și numărul minim de foliole</w:t>
      </w:r>
    </w:p>
    <w:tbl>
      <w:tblPr>
        <w:tblStyle w:val="TableGrid"/>
        <w:tblW w:type="auto" w:w="0"/>
        <w:tblLook w:firstColumn="1" w:firstRow="1" w:lastColumn="0" w:lastRow="0" w:noHBand="0" w:noVBand="1" w:val="04A0"/>
      </w:tblPr>
      <w:tblGrid>
        <w:gridCol w:w="4320"/>
        <w:gridCol w:w="4320"/>
      </w:tblGrid>
      <w:tr>
        <w:tc>
          <w:tcPr>
            <w:tcW w:type="dxa" w:w="4320"/>
          </w:tcPr>
          <w:p>
            <w:r>
              <w:rPr>
                <w:b/>
              </w:rPr>
              <w:t>Parametru</w:t>
            </w:r>
          </w:p>
        </w:tc>
        <w:tc>
          <w:tcPr>
            <w:tcW w:type="dxa" w:w="4320"/>
          </w:tcPr>
          <w:p>
            <w:r>
              <w:rPr>
                <w:b/>
              </w:rPr>
              <w:t>Recomandare (protocol UC / laboratoare de referință)</w:t>
            </w:r>
          </w:p>
        </w:tc>
      </w:tr>
      <w:tr>
        <w:tc>
          <w:tcPr>
            <w:tcW w:type="dxa" w:w="4320"/>
          </w:tcPr>
          <w:p>
            <w:r>
              <w:t>Organul recoltat</w:t>
            </w:r>
          </w:p>
        </w:tc>
        <w:tc>
          <w:tcPr>
            <w:tcW w:type="dxa" w:w="4320"/>
          </w:tcPr>
          <w:p>
            <w:r>
              <w:t>Foliolele terminale ale frunzei compuse, de pe pinteni/lăstari nefructiferi, complet dezvoltate</w:t>
            </w:r>
          </w:p>
        </w:tc>
      </w:tr>
      <w:tr>
        <w:tc>
          <w:tcPr>
            <w:tcW w:type="dxa" w:w="4320"/>
          </w:tcPr>
          <w:p>
            <w:r>
              <w:t>Poziția în coroană</w:t>
            </w:r>
          </w:p>
        </w:tc>
        <w:tc>
          <w:tcPr>
            <w:tcW w:type="dxa" w:w="4320"/>
          </w:tcPr>
          <w:p>
            <w:r>
              <w:t>La 1,8–2,4 m înălțime (cca. 6–8 ft), din toate cele patru cadrane / de jur împrejurul pomului</w:t>
            </w:r>
          </w:p>
        </w:tc>
      </w:tr>
      <w:tr>
        <w:tc>
          <w:tcPr>
            <w:tcW w:type="dxa" w:w="4320"/>
          </w:tcPr>
          <w:p>
            <w:r>
              <w:t>Nr. foliole / probă</w:t>
            </w:r>
          </w:p>
        </w:tc>
        <w:tc>
          <w:tcPr>
            <w:tcW w:type="dxa" w:w="4320"/>
          </w:tcPr>
          <w:p>
            <w:r>
              <w:t>Minim 30, recomandat cca. 50 de foliole terminale per probă compozită</w:t>
            </w:r>
          </w:p>
        </w:tc>
      </w:tr>
      <w:tr>
        <w:tc>
          <w:tcPr>
            <w:tcW w:type="dxa" w:w="4320"/>
          </w:tcPr>
          <w:p>
            <w:r>
              <w:t>Nr. pomi / probă</w:t>
            </w:r>
          </w:p>
        </w:tc>
        <w:tc>
          <w:tcPr>
            <w:tcW w:type="dxa" w:w="4320"/>
          </w:tcPr>
          <w:p>
            <w:r>
              <w:t>5–10 pomi selectați aleatoriu, reprezentativi pentru bloc (pomi la min. ~12 m distanță)</w:t>
            </w:r>
          </w:p>
        </w:tc>
      </w:tr>
      <w:tr>
        <w:tc>
          <w:tcPr>
            <w:tcW w:type="dxa" w:w="4320"/>
          </w:tcPr>
          <w:p>
            <w:r>
              <w:t>Delimitarea probei</w:t>
            </w:r>
          </w:p>
        </w:tc>
        <w:tc>
          <w:tcPr>
            <w:tcW w:type="dxa" w:w="4320"/>
          </w:tcPr>
          <w:p>
            <w:r>
              <w:t>Câte o probă compozită separată pentru fiecare bloc uniform (sol, vârstă, soi, management)</w:t>
            </w:r>
          </w:p>
        </w:tc>
      </w:tr>
      <w:tr>
        <w:tc>
          <w:tcPr>
            <w:tcW w:type="dxa" w:w="4320"/>
          </w:tcPr>
          <w:p>
            <w:r>
              <w:t>Pomi de evitat</w:t>
            </w:r>
          </w:p>
        </w:tc>
        <w:tc>
          <w:tcPr>
            <w:tcW w:type="dxa" w:w="4320"/>
          </w:tcPr>
          <w:p>
            <w:r>
              <w:t>Pomii bolnavi, răniți sau pipernici­ți nu se includ în proba de diagnoză generală</w:t>
            </w:r>
          </w:p>
        </w:tc>
      </w:tr>
    </w:tbl>
    <w:p/>
    <w:p>
      <w:pPr/>
      <w:r>
        <w:t>Notă privind reprezentativitatea: valorile critice se referă la pom, iar rezultatul analizei reprezintă media pomilor din probă (unii sub, alții peste medie). De aceea plantația trebuie împărțită în blocuri uniforme, cu variabilitate mică între pomi.</w:t>
      </w:r>
    </w:p>
    <w:p>
      <w:pPr/>
      <w:r>
        <w:t>Diagnostic diferențiat: pomii cu simptome suspecte se prelevează SEPARAT de cei sănătoși și se compară între ei, pentru a identifica elementul deficitar. Pomii suspecți de carență pot fi prelevați și în afara ferestrei din iulie, cu comparație obligatorie față de pomi sănătoși.</w:t>
      </w:r>
    </w:p>
    <w:p>
      <w:pPr>
        <w:pStyle w:val="Heading2"/>
      </w:pPr>
      <w:r>
        <w:t>3.3. Recoltarea, ambalarea, păstrarea și transportul probelor</w:t>
      </w:r>
    </w:p>
    <w:p>
      <w:pPr>
        <w:pStyle w:val="ListBullet"/>
      </w:pPr>
      <w:r>
        <w:t>Recoltare: se rup foliolele terminale și se combină într-o pungă de hârtie (nu plastic etanș, pentru a evita mucegăirea și fermentarea).</w:t>
      </w:r>
    </w:p>
    <w:p>
      <w:pPr>
        <w:pStyle w:val="ListBullet"/>
      </w:pPr>
      <w:r>
        <w:t>Etichetare: fiecare probă se marchează clar (bloc/parcelă, soi – Lara, portaltoi dacă se cunoaște, data, înălțimea de prelevare, observații de câmp).</w:t>
      </w:r>
    </w:p>
    <w:p>
      <w:pPr>
        <w:pStyle w:val="ListBullet"/>
      </w:pPr>
      <w:r>
        <w:t>Curățare: dacă frunzele sunt prăfuite sau au reziduuri de stropiri (sol, foliare cu Zn/Cu/B/Fe), se șterg/spală ușor conform procedurii de laborator, altfel valorile de microelemente sunt fals ridicate.</w:t>
      </w:r>
    </w:p>
    <w:p>
      <w:pPr>
        <w:pStyle w:val="ListBullet"/>
      </w:pPr>
      <w:r>
        <w:t>Păstrare și transport: probele se țin la răcoare și se trimit/livrează la laborator cât mai repede posibil, împreună cu formularul de comandă/însoțire.</w:t>
      </w:r>
    </w:p>
    <w:p>
      <w:pPr>
        <w:pStyle w:val="ListBullet"/>
      </w:pPr>
      <w:r>
        <w:t>La laborator: uscare, măcinare și analiză conform metodelor standard; rezultatele macroelementelor se exprimă în % substanță uscată, iar microelementele în ppm (mg/kg s.u.).</w:t>
      </w:r>
    </w:p>
    <w:p>
      <w:pPr>
        <w:pStyle w:val="Heading2"/>
      </w:pPr>
      <w:r>
        <w:t>3.4. Criterii de acceptare / respingere a probelor</w:t>
      </w:r>
    </w:p>
    <w:tbl>
      <w:tblPr>
        <w:tblStyle w:val="TableGrid"/>
        <w:tblW w:type="auto" w:w="0"/>
        <w:tblLook w:firstColumn="1" w:firstRow="1" w:lastColumn="0" w:lastRow="0" w:noHBand="0" w:noVBand="1" w:val="04A0"/>
      </w:tblPr>
      <w:tblGrid>
        <w:gridCol w:w="2880"/>
        <w:gridCol w:w="2880"/>
        <w:gridCol w:w="2880"/>
      </w:tblGrid>
      <w:tr>
        <w:tc>
          <w:tcPr>
            <w:tcW w:type="dxa" w:w="2880"/>
          </w:tcPr>
          <w:p>
            <w:r>
              <w:rPr>
                <w:b/>
              </w:rPr>
              <w:t>Criteriu</w:t>
            </w:r>
          </w:p>
        </w:tc>
        <w:tc>
          <w:tcPr>
            <w:tcW w:type="dxa" w:w="2880"/>
          </w:tcPr>
          <w:p>
            <w:r>
              <w:rPr>
                <w:b/>
              </w:rPr>
              <w:t>Se ACCEPTĂ</w:t>
            </w:r>
          </w:p>
        </w:tc>
        <w:tc>
          <w:tcPr>
            <w:tcW w:type="dxa" w:w="2880"/>
          </w:tcPr>
          <w:p>
            <w:r>
              <w:rPr>
                <w:b/>
              </w:rPr>
              <w:t>Se RESPINGE / se prelevează din nou</w:t>
            </w:r>
          </w:p>
        </w:tc>
      </w:tr>
      <w:tr>
        <w:tc>
          <w:tcPr>
            <w:tcW w:type="dxa" w:w="2880"/>
          </w:tcPr>
          <w:p>
            <w:r>
              <w:t>Perioada</w:t>
            </w:r>
          </w:p>
        </w:tc>
        <w:tc>
          <w:tcPr>
            <w:tcW w:type="dxa" w:w="2880"/>
          </w:tcPr>
          <w:p>
            <w:r>
              <w:t>Iulie (sau interval documentat, cu mențiune)</w:t>
            </w:r>
          </w:p>
        </w:tc>
        <w:tc>
          <w:tcPr>
            <w:tcW w:type="dxa" w:w="2880"/>
          </w:tcPr>
          <w:p>
            <w:r>
              <w:t>Perioadă necunoscută sau neînregistrată</w:t>
            </w:r>
          </w:p>
        </w:tc>
      </w:tr>
      <w:tr>
        <w:tc>
          <w:tcPr>
            <w:tcW w:type="dxa" w:w="2880"/>
          </w:tcPr>
          <w:p>
            <w:r>
              <w:t>Organul</w:t>
            </w:r>
          </w:p>
        </w:tc>
        <w:tc>
          <w:tcPr>
            <w:tcW w:type="dxa" w:w="2880"/>
          </w:tcPr>
          <w:p>
            <w:r>
              <w:t>Foliole terminale, frunze mature, nefructifere</w:t>
            </w:r>
          </w:p>
        </w:tc>
        <w:tc>
          <w:tcPr>
            <w:tcW w:type="dxa" w:w="2880"/>
          </w:tcPr>
          <w:p>
            <w:r>
              <w:t>Frunze imature, fructifere, pețioli, lăstari</w:t>
            </w:r>
          </w:p>
        </w:tc>
      </w:tr>
      <w:tr>
        <w:tc>
          <w:tcPr>
            <w:tcW w:type="dxa" w:w="2880"/>
          </w:tcPr>
          <w:p>
            <w:r>
              <w:t>Numărul</w:t>
            </w:r>
          </w:p>
        </w:tc>
        <w:tc>
          <w:tcPr>
            <w:tcW w:type="dxa" w:w="2880"/>
          </w:tcPr>
          <w:p>
            <w:r>
              <w:t>≥ 30 foliole (ideal ~50), 5–10 pomi</w:t>
            </w:r>
          </w:p>
        </w:tc>
        <w:tc>
          <w:tcPr>
            <w:tcW w:type="dxa" w:w="2880"/>
          </w:tcPr>
          <w:p>
            <w:r>
              <w:t>Probă prea mică / de la un singur pom</w:t>
            </w:r>
          </w:p>
        </w:tc>
      </w:tr>
      <w:tr>
        <w:tc>
          <w:tcPr>
            <w:tcW w:type="dxa" w:w="2880"/>
          </w:tcPr>
          <w:p>
            <w:r>
              <w:t>Starea frunzelor</w:t>
            </w:r>
          </w:p>
        </w:tc>
        <w:tc>
          <w:tcPr>
            <w:tcW w:type="dxa" w:w="2880"/>
          </w:tcPr>
          <w:p>
            <w:r>
              <w:t>Sănătoase, reprezentative, curate</w:t>
            </w:r>
          </w:p>
        </w:tc>
        <w:tc>
          <w:tcPr>
            <w:tcW w:type="dxa" w:w="2880"/>
          </w:tcPr>
          <w:p>
            <w:r>
              <w:t>Bolnave/rănite (la diagnoza generală), murdare, mucegăite</w:t>
            </w:r>
          </w:p>
        </w:tc>
      </w:tr>
      <w:tr>
        <w:tc>
          <w:tcPr>
            <w:tcW w:type="dxa" w:w="2880"/>
          </w:tcPr>
          <w:p>
            <w:r>
              <w:t>Ambalare</w:t>
            </w:r>
          </w:p>
        </w:tc>
        <w:tc>
          <w:tcPr>
            <w:tcW w:type="dxa" w:w="2880"/>
          </w:tcPr>
          <w:p>
            <w:r>
              <w:t>Pungă de hârtie, etichetată, ținută la răcoare</w:t>
            </w:r>
          </w:p>
        </w:tc>
        <w:tc>
          <w:tcPr>
            <w:tcW w:type="dxa" w:w="2880"/>
          </w:tcPr>
          <w:p>
            <w:r>
              <w:t>Plastic etanș, fermentate, neetichetate</w:t>
            </w:r>
          </w:p>
        </w:tc>
      </w:tr>
      <w:tr>
        <w:tc>
          <w:tcPr>
            <w:tcW w:type="dxa" w:w="2880"/>
          </w:tcPr>
          <w:p>
            <w:r>
              <w:t>Contaminare foliară</w:t>
            </w:r>
          </w:p>
        </w:tc>
        <w:tc>
          <w:tcPr>
            <w:tcW w:type="dxa" w:w="2880"/>
          </w:tcPr>
          <w:p>
            <w:r>
              <w:t>Fără stropiri recente cu micronutrienți</w:t>
            </w:r>
          </w:p>
        </w:tc>
        <w:tc>
          <w:tcPr>
            <w:tcW w:type="dxa" w:w="2880"/>
          </w:tcPr>
          <w:p>
            <w:r>
              <w:t>Reziduuri de foliare (Zn/B/Cu/Mn) → false valori</w:t>
            </w:r>
          </w:p>
        </w:tc>
      </w:tr>
    </w:tbl>
    <w:p/>
    <w:p>
      <w:pPr/>
      <w:r>
        <w:t>Probele care nu îndeplinesc criteriile de mai sus fie se resping și se solicită re-prelevare, fie se analizează cu mențiune explicită în raport privind limitele de interpretare.</w:t>
      </w:r>
    </w:p>
    <w:p>
      <w:pPr>
        <w:pStyle w:val="Heading1"/>
      </w:pPr>
      <w:r>
        <w:t>4. Intervale de interpretare (praguri carență / optim / exces)</w:t>
      </w:r>
    </w:p>
    <w:p>
      <w:pPr/>
      <w:r>
        <w:t>Valorile de mai jos sunt standardele UC ANR / UC Davis – CDFA-FREP pentru Juglans regia, valabile pentru probe de vară (iulie). Se aplică soiului Lara ca recomandări generale pentru specie (nu există praguri validate separat pentru Lara). Unde sursele diferă, diferența este explicată în notele de sub tabele.</w:t>
      </w:r>
    </w:p>
    <w:p>
      <w:pPr>
        <w:pStyle w:val="Heading2"/>
      </w:pPr>
      <w:r>
        <w:t>4.1. Macroelemente (% substanță uscată)</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Element</w:t>
            </w:r>
          </w:p>
        </w:tc>
        <w:tc>
          <w:tcPr>
            <w:tcW w:type="dxa" w:w="2160"/>
          </w:tcPr>
          <w:p>
            <w:r>
              <w:rPr>
                <w:b/>
              </w:rPr>
              <w:t>Carență (deficient)</w:t>
            </w:r>
          </w:p>
        </w:tc>
        <w:tc>
          <w:tcPr>
            <w:tcW w:type="dxa" w:w="2160"/>
          </w:tcPr>
          <w:p>
            <w:r>
              <w:rPr>
                <w:b/>
              </w:rPr>
              <w:t>Optim / suficient</w:t>
            </w:r>
          </w:p>
        </w:tc>
        <w:tc>
          <w:tcPr>
            <w:tcW w:type="dxa" w:w="2160"/>
          </w:tcPr>
          <w:p>
            <w:r>
              <w:rPr>
                <w:b/>
              </w:rPr>
              <w:t>Exces</w:t>
            </w:r>
          </w:p>
        </w:tc>
      </w:tr>
      <w:tr>
        <w:tc>
          <w:tcPr>
            <w:tcW w:type="dxa" w:w="2160"/>
          </w:tcPr>
          <w:p>
            <w:r>
              <w:t>Azot (N)</w:t>
            </w:r>
          </w:p>
        </w:tc>
        <w:tc>
          <w:tcPr>
            <w:tcW w:type="dxa" w:w="2160"/>
          </w:tcPr>
          <w:p>
            <w:r>
              <w:t>&lt; 2,1 %</w:t>
            </w:r>
          </w:p>
        </w:tc>
        <w:tc>
          <w:tcPr>
            <w:tcW w:type="dxa" w:w="2160"/>
          </w:tcPr>
          <w:p>
            <w:r>
              <w:t>2,2 – 3,2 %</w:t>
            </w:r>
          </w:p>
        </w:tc>
        <w:tc>
          <w:tcPr>
            <w:tcW w:type="dxa" w:w="2160"/>
          </w:tcPr>
          <w:p>
            <w:r>
              <w:t>&gt; 3,2 %</w:t>
            </w:r>
          </w:p>
        </w:tc>
      </w:tr>
      <w:tr>
        <w:tc>
          <w:tcPr>
            <w:tcW w:type="dxa" w:w="2160"/>
          </w:tcPr>
          <w:p>
            <w:r>
              <w:t>Fosfor (P)</w:t>
            </w:r>
          </w:p>
        </w:tc>
        <w:tc>
          <w:tcPr>
            <w:tcW w:type="dxa" w:w="2160"/>
          </w:tcPr>
          <w:p>
            <w:r>
              <w:t>&lt; 0,10 %</w:t>
            </w:r>
          </w:p>
        </w:tc>
        <w:tc>
          <w:tcPr>
            <w:tcW w:type="dxa" w:w="2160"/>
          </w:tcPr>
          <w:p>
            <w:r>
              <w:t>0,10 – 0,30 %</w:t>
            </w:r>
          </w:p>
        </w:tc>
        <w:tc>
          <w:tcPr>
            <w:tcW w:type="dxa" w:w="2160"/>
          </w:tcPr>
          <w:p>
            <w:r>
              <w:t>&gt; 0,30 %</w:t>
            </w:r>
          </w:p>
        </w:tc>
      </w:tr>
      <w:tr>
        <w:tc>
          <w:tcPr>
            <w:tcW w:type="dxa" w:w="2160"/>
          </w:tcPr>
          <w:p>
            <w:r>
              <w:t>Potasiu (K)</w:t>
            </w:r>
          </w:p>
        </w:tc>
        <w:tc>
          <w:tcPr>
            <w:tcW w:type="dxa" w:w="2160"/>
          </w:tcPr>
          <w:p>
            <w:r>
              <w:t>&lt; 0,9 – 1,0 %</w:t>
            </w:r>
          </w:p>
        </w:tc>
        <w:tc>
          <w:tcPr>
            <w:tcW w:type="dxa" w:w="2160"/>
          </w:tcPr>
          <w:p>
            <w:r>
              <w:t>&gt; 1,2 % (suficient)</w:t>
            </w:r>
          </w:p>
        </w:tc>
        <w:tc>
          <w:tcPr>
            <w:tcW w:type="dxa" w:w="2160"/>
          </w:tcPr>
          <w:p>
            <w:r>
              <w:t>—</w:t>
            </w:r>
          </w:p>
        </w:tc>
      </w:tr>
      <w:tr>
        <w:tc>
          <w:tcPr>
            <w:tcW w:type="dxa" w:w="2160"/>
          </w:tcPr>
          <w:p>
            <w:r>
              <w:t>Calciu (Ca)</w:t>
            </w:r>
          </w:p>
        </w:tc>
        <w:tc>
          <w:tcPr>
            <w:tcW w:type="dxa" w:w="2160"/>
          </w:tcPr>
          <w:p>
            <w:r>
              <w:t>&lt; 1,0 %</w:t>
            </w:r>
          </w:p>
        </w:tc>
        <w:tc>
          <w:tcPr>
            <w:tcW w:type="dxa" w:w="2160"/>
          </w:tcPr>
          <w:p>
            <w:r>
              <w:t>1,0 – 3,5 %</w:t>
            </w:r>
          </w:p>
        </w:tc>
        <w:tc>
          <w:tcPr>
            <w:tcW w:type="dxa" w:w="2160"/>
          </w:tcPr>
          <w:p>
            <w:r>
              <w:t>—</w:t>
            </w:r>
          </w:p>
        </w:tc>
      </w:tr>
      <w:tr>
        <w:tc>
          <w:tcPr>
            <w:tcW w:type="dxa" w:w="2160"/>
          </w:tcPr>
          <w:p>
            <w:r>
              <w:t>Magneziu (Mg)</w:t>
            </w:r>
          </w:p>
        </w:tc>
        <w:tc>
          <w:tcPr>
            <w:tcW w:type="dxa" w:w="2160"/>
          </w:tcPr>
          <w:p>
            <w:r>
              <w:t>&lt; 0,3 %</w:t>
            </w:r>
          </w:p>
        </w:tc>
        <w:tc>
          <w:tcPr>
            <w:tcW w:type="dxa" w:w="2160"/>
          </w:tcPr>
          <w:p>
            <w:r>
              <w:t>&gt; 0,3 %</w:t>
            </w:r>
          </w:p>
        </w:tc>
        <w:tc>
          <w:tcPr>
            <w:tcW w:type="dxa" w:w="2160"/>
          </w:tcPr>
          <w:p>
            <w:r>
              <w:t>—</w:t>
            </w:r>
          </w:p>
        </w:tc>
      </w:tr>
      <w:tr>
        <w:tc>
          <w:tcPr>
            <w:tcW w:type="dxa" w:w="2160"/>
          </w:tcPr>
          <w:p>
            <w:r>
              <w:t>Sulf (S)</w:t>
            </w:r>
          </w:p>
        </w:tc>
        <w:tc>
          <w:tcPr>
            <w:tcW w:type="dxa" w:w="2160"/>
          </w:tcPr>
          <w:p>
            <w:r>
              <w:t>&lt; 0,1 %</w:t>
            </w:r>
          </w:p>
        </w:tc>
        <w:tc>
          <w:tcPr>
            <w:tcW w:type="dxa" w:w="2160"/>
          </w:tcPr>
          <w:p>
            <w:r>
              <w:t>0,1 – 0,5 %</w:t>
            </w:r>
          </w:p>
        </w:tc>
        <w:tc>
          <w:tcPr>
            <w:tcW w:type="dxa" w:w="2160"/>
          </w:tcPr>
          <w:p>
            <w:r>
              <w:t>—</w:t>
            </w:r>
          </w:p>
        </w:tc>
      </w:tr>
    </w:tbl>
    <w:p/>
    <w:p>
      <w:pPr/>
      <w:r>
        <w:t>Note (N, K): valoarea de referință UC pentru N este intervalul suficient 2,2–3,2 %; sub 2,1 % indică deficiență, iar peste 3,2 % indică exces. Manualul Western Fertilizer Handbook recomandă un interval mai strâns, 2,3–2,8 % N, în concordanță cu Weinbaum et al., care au raportat scăderi de producție la N foliar ≤ 2,3 % s.u. Pentru K, ghidul CDFA-FREP indică pragul de suficiență &gt; 1,2 %; sinteza Beede (UC) folosește ca reper deficiență ~0,9 % și suficiență &gt; 1,2 %.</w:t>
      </w:r>
    </w:p>
    <w:p>
      <w:pPr>
        <w:pStyle w:val="Heading2"/>
      </w:pPr>
      <w:r>
        <w:t>4.2. Microelemente (ppm = mg/kg substanță uscată)</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Element</w:t>
            </w:r>
          </w:p>
        </w:tc>
        <w:tc>
          <w:tcPr>
            <w:tcW w:type="dxa" w:w="2160"/>
          </w:tcPr>
          <w:p>
            <w:r>
              <w:rPr>
                <w:b/>
              </w:rPr>
              <w:t>Carență (deficient)</w:t>
            </w:r>
          </w:p>
        </w:tc>
        <w:tc>
          <w:tcPr>
            <w:tcW w:type="dxa" w:w="2160"/>
          </w:tcPr>
          <w:p>
            <w:r>
              <w:rPr>
                <w:b/>
              </w:rPr>
              <w:t>Optim / suficient</w:t>
            </w:r>
          </w:p>
        </w:tc>
        <w:tc>
          <w:tcPr>
            <w:tcW w:type="dxa" w:w="2160"/>
          </w:tcPr>
          <w:p>
            <w:r>
              <w:rPr>
                <w:b/>
              </w:rPr>
              <w:t>Exces / toxic</w:t>
            </w:r>
          </w:p>
        </w:tc>
      </w:tr>
      <w:tr>
        <w:tc>
          <w:tcPr>
            <w:tcW w:type="dxa" w:w="2160"/>
          </w:tcPr>
          <w:p>
            <w:r>
              <w:t>Bor (B)</w:t>
            </w:r>
          </w:p>
        </w:tc>
        <w:tc>
          <w:tcPr>
            <w:tcW w:type="dxa" w:w="2160"/>
          </w:tcPr>
          <w:p>
            <w:r>
              <w:t>&lt; 20 ppm</w:t>
            </w:r>
          </w:p>
        </w:tc>
        <w:tc>
          <w:tcPr>
            <w:tcW w:type="dxa" w:w="2160"/>
          </w:tcPr>
          <w:p>
            <w:r>
              <w:t>36 – 200 (până la ~300) ppm</w:t>
            </w:r>
          </w:p>
        </w:tc>
        <w:tc>
          <w:tcPr>
            <w:tcW w:type="dxa" w:w="2160"/>
          </w:tcPr>
          <w:p>
            <w:r>
              <w:t>&gt; 300 ppm</w:t>
            </w:r>
          </w:p>
        </w:tc>
      </w:tr>
      <w:tr>
        <w:tc>
          <w:tcPr>
            <w:tcW w:type="dxa" w:w="2160"/>
          </w:tcPr>
          <w:p>
            <w:r>
              <w:t>Zinc (Zn)</w:t>
            </w:r>
          </w:p>
        </w:tc>
        <w:tc>
          <w:tcPr>
            <w:tcW w:type="dxa" w:w="2160"/>
          </w:tcPr>
          <w:p>
            <w:r>
              <w:t>&lt; 18 – 20 ppm</w:t>
            </w:r>
          </w:p>
        </w:tc>
        <w:tc>
          <w:tcPr>
            <w:tcW w:type="dxa" w:w="2160"/>
          </w:tcPr>
          <w:p>
            <w:r>
              <w:t>≥ 20 ppm (suficient)</w:t>
            </w:r>
          </w:p>
        </w:tc>
        <w:tc>
          <w:tcPr>
            <w:tcW w:type="dxa" w:w="2160"/>
          </w:tcPr>
          <w:p>
            <w:r>
              <w:t>—</w:t>
            </w:r>
          </w:p>
        </w:tc>
      </w:tr>
      <w:tr>
        <w:tc>
          <w:tcPr>
            <w:tcW w:type="dxa" w:w="2160"/>
          </w:tcPr>
          <w:p>
            <w:r>
              <w:t>Mangan (Mn)</w:t>
            </w:r>
          </w:p>
        </w:tc>
        <w:tc>
          <w:tcPr>
            <w:tcW w:type="dxa" w:w="2160"/>
          </w:tcPr>
          <w:p>
            <w:r>
              <w:t>&lt; 20 ppm</w:t>
            </w:r>
          </w:p>
        </w:tc>
        <w:tc>
          <w:tcPr>
            <w:tcW w:type="dxa" w:w="2160"/>
          </w:tcPr>
          <w:p>
            <w:r>
              <w:t>20 – 300 ppm</w:t>
            </w:r>
          </w:p>
        </w:tc>
        <w:tc>
          <w:tcPr>
            <w:tcW w:type="dxa" w:w="2160"/>
          </w:tcPr>
          <w:p>
            <w:r>
              <w:t>foarte ridicat (&gt;1000 ppm)</w:t>
            </w:r>
          </w:p>
        </w:tc>
      </w:tr>
      <w:tr>
        <w:tc>
          <w:tcPr>
            <w:tcW w:type="dxa" w:w="2160"/>
          </w:tcPr>
          <w:p>
            <w:r>
              <w:t>Cupru (Cu)</w:t>
            </w:r>
          </w:p>
        </w:tc>
        <w:tc>
          <w:tcPr>
            <w:tcW w:type="dxa" w:w="2160"/>
          </w:tcPr>
          <w:p>
            <w:r>
              <w:t>&lt; 4 ppm</w:t>
            </w:r>
          </w:p>
        </w:tc>
        <w:tc>
          <w:tcPr>
            <w:tcW w:type="dxa" w:w="2160"/>
          </w:tcPr>
          <w:p>
            <w:r>
              <w:t>4 – 20 ppm</w:t>
            </w:r>
          </w:p>
        </w:tc>
        <w:tc>
          <w:tcPr>
            <w:tcW w:type="dxa" w:w="2160"/>
          </w:tcPr>
          <w:p>
            <w:r>
              <w:t>—</w:t>
            </w:r>
          </w:p>
        </w:tc>
      </w:tr>
      <w:tr>
        <w:tc>
          <w:tcPr>
            <w:tcW w:type="dxa" w:w="2160"/>
          </w:tcPr>
          <w:p>
            <w:r>
              <w:t>Fier (Fe)</w:t>
            </w:r>
          </w:p>
        </w:tc>
        <w:tc>
          <w:tcPr>
            <w:tcW w:type="dxa" w:w="2160"/>
          </w:tcPr>
          <w:p>
            <w:r>
              <w:t>&lt; 50 ppm</w:t>
            </w:r>
          </w:p>
        </w:tc>
        <w:tc>
          <w:tcPr>
            <w:tcW w:type="dxa" w:w="2160"/>
          </w:tcPr>
          <w:p>
            <w:r>
              <w:t>&gt; 50 ppm (suficient)</w:t>
            </w:r>
          </w:p>
        </w:tc>
        <w:tc>
          <w:tcPr>
            <w:tcW w:type="dxa" w:w="2160"/>
          </w:tcPr>
          <w:p>
            <w:r>
              <w:t>—</w:t>
            </w:r>
          </w:p>
        </w:tc>
      </w:tr>
    </w:tbl>
    <w:p/>
    <w:p>
      <w:pPr/>
      <w:r>
        <w:t>Note (B, Zn): reperul UC (Beede) pentru B indică deficiență &lt; 20 ppm, suficiență 36–300 ppm și toxicitate &gt; 300 ppm; nivelul minim acceptabil de vară pentru B și Zn este ~20 ppm, iar pentru Cu ~4 ppm. Pentru Zn, unele surse folosesc pragul de deficiență &lt; 18 ppm (Beede), altele &lt; 20 ppm. Borul este imobil în nuc (se deplasează doar prin xilem și se acumulează în vârful foliolelor); intervalul dintre carență și toxicitate este îngust (de doar 2–3 ori), deci diagnosticul B cere precizie maximă.</w:t>
      </w:r>
    </w:p>
    <w:p>
      <w:pPr>
        <w:pStyle w:val="Heading2"/>
      </w:pPr>
      <w:r>
        <w:t>4.3. Elemente cu potențial fitotoxic / salinitate (% substanță uscată)</w:t>
      </w:r>
    </w:p>
    <w:tbl>
      <w:tblPr>
        <w:tblStyle w:val="TableGrid"/>
        <w:tblW w:type="auto" w:w="0"/>
        <w:tblLook w:firstColumn="1" w:firstRow="1" w:lastColumn="0" w:lastRow="0" w:noHBand="0" w:noVBand="1" w:val="04A0"/>
      </w:tblPr>
      <w:tblGrid>
        <w:gridCol w:w="2880"/>
        <w:gridCol w:w="2880"/>
        <w:gridCol w:w="2880"/>
      </w:tblGrid>
      <w:tr>
        <w:tc>
          <w:tcPr>
            <w:tcW w:type="dxa" w:w="2880"/>
          </w:tcPr>
          <w:p>
            <w:r>
              <w:rPr>
                <w:b/>
              </w:rPr>
              <w:t>Element</w:t>
            </w:r>
          </w:p>
        </w:tc>
        <w:tc>
          <w:tcPr>
            <w:tcW w:type="dxa" w:w="2880"/>
          </w:tcPr>
          <w:p>
            <w:r>
              <w:rPr>
                <w:b/>
              </w:rPr>
              <w:t>Nivel de atenție</w:t>
            </w:r>
          </w:p>
        </w:tc>
        <w:tc>
          <w:tcPr>
            <w:tcW w:type="dxa" w:w="2880"/>
          </w:tcPr>
          <w:p>
            <w:r>
              <w:rPr>
                <w:b/>
              </w:rPr>
              <w:t>Toxic</w:t>
            </w:r>
          </w:p>
        </w:tc>
      </w:tr>
      <w:tr>
        <w:tc>
          <w:tcPr>
            <w:tcW w:type="dxa" w:w="2880"/>
          </w:tcPr>
          <w:p>
            <w:r>
              <w:t>Sodiu (Na)</w:t>
            </w:r>
          </w:p>
        </w:tc>
        <w:tc>
          <w:tcPr>
            <w:tcW w:type="dxa" w:w="2880"/>
          </w:tcPr>
          <w:p>
            <w:r>
              <w:t>0,1 – 0,25 %</w:t>
            </w:r>
          </w:p>
        </w:tc>
        <w:tc>
          <w:tcPr>
            <w:tcW w:type="dxa" w:w="2880"/>
          </w:tcPr>
          <w:p>
            <w:r>
              <w:t>&gt; 0,1 – 0,25 % (fitotoxic)</w:t>
            </w:r>
          </w:p>
        </w:tc>
      </w:tr>
      <w:tr>
        <w:tc>
          <w:tcPr>
            <w:tcW w:type="dxa" w:w="2880"/>
          </w:tcPr>
          <w:p>
            <w:r>
              <w:t>Clor (Cl)</w:t>
            </w:r>
          </w:p>
        </w:tc>
        <w:tc>
          <w:tcPr>
            <w:tcW w:type="dxa" w:w="2880"/>
          </w:tcPr>
          <w:p>
            <w:r>
              <w:t>0,3 – 0,5 %</w:t>
            </w:r>
          </w:p>
        </w:tc>
        <w:tc>
          <w:tcPr>
            <w:tcW w:type="dxa" w:w="2880"/>
          </w:tcPr>
          <w:p>
            <w:r>
              <w:t>&gt; 0,5 %</w:t>
            </w:r>
          </w:p>
        </w:tc>
      </w:tr>
    </w:tbl>
    <w:p/>
    <w:p>
      <w:pPr/>
      <w:r>
        <w:t>Concentrațiile de săruri (Na, Cl) tind să crească spre finalul sezonului și pot deveni problematice; valorile ridicate impun management al salinității (calitatea apei de irigație, amendamente de sol). Toxicitatea de bor din apa de irigație apare la aproximativ ≥ 0,5 mg/L, cu efecte severe spre 5 mg/L.</w:t>
      </w:r>
    </w:p>
    <w:p>
      <w:pPr>
        <w:pStyle w:val="Heading1"/>
      </w:pPr>
      <w:r>
        <w:t>5. Interpretarea pe element și corelarea cu simptomele</w:t>
      </w:r>
    </w:p>
    <w:p>
      <w:pPr>
        <w:pStyle w:val="Heading2"/>
      </w:pPr>
      <w:r>
        <w:t>5.1. Azot (N)</w:t>
      </w:r>
    </w:p>
    <w:p>
      <w:pPr/>
      <w:r>
        <w:t>Cel mai bine monitorizat prin analiză foliară (producția poate scădea înainte de apariția simptomelor vizibile). Carența: frunze mici și palide primăvara, creștere redusă a lăstarilor, senescență și defoliere timpurie toamna. La N foliar de iulie ≤ 2,3 % s.u. s-au raportat scăderi de producție (Weinbaum et al.). Exces (&gt; 3,2 %): reevaluarea programului de fertilizare, risc de creștere vegetativă excesivă și pierderi de N în mediu. La Lara, soi viguros cu producție mare pe fructificare laterală, echilibrul N este critic pentru susținerea umplerii miezului fără vigoare exuberantă.</w:t>
      </w:r>
    </w:p>
    <w:p>
      <w:pPr>
        <w:pStyle w:val="Heading2"/>
      </w:pPr>
      <w:r>
        <w:t>5.2. Fosfor (P)</w:t>
      </w:r>
    </w:p>
    <w:p>
      <w:pPr/>
      <w:r>
        <w:t>Carența de P nu produce simptome caracteristice la nuc, ceea ce face analiza foliară deosebit de importantă pentru diagnostic. Interval optim 0,10–0,30 %. P scade în frunze pe parcursul sezonului. Deficiențele reale sunt rare, adesea legate de soluri cu parent material vulcanic sau de sisteme radiculare restricționate.</w:t>
      </w:r>
    </w:p>
    <w:p>
      <w:pPr>
        <w:pStyle w:val="Heading2"/>
      </w:pPr>
      <w:r>
        <w:t>5.3. Potasiu (K)</w:t>
      </w:r>
    </w:p>
    <w:p>
      <w:pPr/>
      <w:r>
        <w:t>Element cheie pentru soiuri productive precum Lara, datorită cererii mari de potasiu în perioada de umplere a miezului. Simptomele de carență apar de la începutul verii: frunze palide (pot semăna cu deficiența de N), marginile foliolelor se răsucesc în sus la carențe severe, cu aspect cenușiu pe fața inferioară; sunt afectate mai ales frunzele din mijlocul lăstarilor. Se reduc dimensiunea frunzei, creșterea lăstarilor și mărimea fructelor. Suficiență &gt; 1,2 %; diagnosticul se confirmă prin analiză foliară.</w:t>
      </w:r>
    </w:p>
    <w:p>
      <w:pPr>
        <w:pStyle w:val="Heading2"/>
      </w:pPr>
      <w:r>
        <w:t>5.4. Calciu (Ca), Magneziu (Mg), Sulf (S)</w:t>
      </w:r>
    </w:p>
    <w:p>
      <w:pPr>
        <w:pStyle w:val="ListBullet"/>
      </w:pPr>
      <w:r>
        <w:t>Ca — interval optim 1,0–3,5 %; rar deficitar în sol calcaros; important pentru integritatea structurală a țesuturilor.</w:t>
      </w:r>
    </w:p>
    <w:p>
      <w:pPr>
        <w:pStyle w:val="ListBullet"/>
      </w:pPr>
      <w:r>
        <w:t>Mg — suficiență &gt; 0,3 %; carența (&lt; 0,3 %) apare pe soluri sărace sau cu antagonism K/Mg; cloroze internervuriene pe frunzele bazale.</w:t>
      </w:r>
    </w:p>
    <w:p>
      <w:pPr>
        <w:pStyle w:val="ListBullet"/>
      </w:pPr>
      <w:r>
        <w:t>S — interval optim 0,1–0,5 %; deficiența (&lt; 0,1 %) este rară.</w:t>
      </w:r>
    </w:p>
    <w:p>
      <w:pPr>
        <w:pStyle w:val="Heading2"/>
      </w:pPr>
      <w:r>
        <w:t>5.5. Bor (B)</w:t>
      </w:r>
    </w:p>
    <w:p>
      <w:pPr/>
      <w:r>
        <w:t>Microelement cu cea mai delicată gestionare la nuc: imobil în plantă, se acumulează în vârful foliolelor, iar fereastra dintre carență (&lt; 20 ppm) și toxicitate (&gt; 300 ppm) este îngustă. Toxicitatea de B (frecvent din apa de irigație ≥ 0,5 mg/L) provoacă arsuri/necroze la vârful și marginea frunzelor mature, spre finalul sezonului. Deficiența de B afectează legarea și calitatea fructelor. Diagnosticul cere corelarea țesutului foliar cu analiza apei de irigație și a solului.</w:t>
      </w:r>
    </w:p>
    <w:p>
      <w:pPr>
        <w:pStyle w:val="Heading2"/>
      </w:pPr>
      <w:r>
        <w:t>5.6. Zinc (Zn)</w:t>
      </w:r>
    </w:p>
    <w:p>
      <w:pPr/>
      <w:r>
        <w:t>Carența de Zn („little leaf” / rozetare) este frecventă la pomii fructiferi: frunze mici, înguste și ascuțite, internoduri scurtate (frunze telescopate în rozetă) la vârful lăstarilor, cloroză asemănătoare celei de fier, pornire în vegetație întârziată. Simptomele sunt cel mai vizibile primăvara, pe creșterea din anul anterior. Suficiență ≥ 20 ppm (deficiență sub 18–20 ppm). Corecție uzuală prin tratamente foliare cu Zn. Atenție: probele contaminate cu foliare de Zn dau valori fals ridicate.</w:t>
      </w:r>
    </w:p>
    <w:p>
      <w:pPr>
        <w:pStyle w:val="Heading2"/>
      </w:pPr>
      <w:r>
        <w:t>5.7. Mangan (Mn), Cupru (Cu), Fier (Fe)</w:t>
      </w:r>
    </w:p>
    <w:p>
      <w:pPr>
        <w:pStyle w:val="ListBullet"/>
      </w:pPr>
      <w:r>
        <w:t>Mn — suficiență 20–300 ppm; deficiența (&lt; 20 ppm) apare pe soluri alcaline (pH &gt; 7,5).</w:t>
      </w:r>
    </w:p>
    <w:p>
      <w:pPr>
        <w:pStyle w:val="ListBullet"/>
      </w:pPr>
      <w:r>
        <w:t>Cu — interval 4–20 ppm; deficiența (&lt; 4 ppm) este rară; poate fi mascată de tratamentele cu cupru împotriva bacteriozei.</w:t>
      </w:r>
    </w:p>
    <w:p>
      <w:pPr>
        <w:pStyle w:val="ListBullet"/>
      </w:pPr>
      <w:r>
        <w:t>Fe — suficiență &gt; 50 ppm; cloroza ferică apare pe soluri calcaroase; analiza foliară de Fe trebuie interpretată cu prudență (Fe total nu reflectă întotdeauna Fe activ).</w:t>
      </w:r>
    </w:p>
    <w:p>
      <w:pPr/>
      <w:r>
        <w:t>Solurile cu pH &gt; 7,5 reduc disponibilitatea Zn, Cu, Mn și Fe – factor important de context la interpretare.</w:t>
      </w:r>
    </w:p>
    <w:p>
      <w:pPr>
        <w:pStyle w:val="Heading2"/>
      </w:pPr>
      <w:r>
        <w:t>5.8. Sodiu (Na) și Clor (Cl) – salinitate</w:t>
      </w:r>
    </w:p>
    <w:p>
      <w:pPr/>
      <w:r>
        <w:t>Se urmăresc ca indicatori de stres salin. Na fitotoxic peste ~0,1–0,25 %, Cl toxic peste 0,5 %. Valorile cresc spre finalul sezonului; interpretarea se corelează obligatoriu cu calitatea apei de irigație și cu analiza de sol.</w:t>
      </w:r>
    </w:p>
    <w:p>
      <w:pPr>
        <w:pStyle w:val="Heading1"/>
      </w:pPr>
      <w:r>
        <w:t>6. Diferențe față de recomandările generale Juglans regia și sensibilități Lara</w:t>
      </w:r>
    </w:p>
    <w:p>
      <w:pPr/>
      <w:r>
        <w:t>În literatura științifică verificabilă NU există praguri de interpretare a țesutului foliar demonstrate ca fiind diferite pentru Lara față de Juglans regia. Prin urmare, în acest ghid nu se introduc praguri „specifice Lara”; se folosesc standardele generale pentru specie. Diferențele reale, demonstrate, sunt de ordin agronomic și de management, nu de praguri de interpretare:</w:t>
      </w:r>
    </w:p>
    <w:p>
      <w:pPr>
        <w:pStyle w:val="ListBullet"/>
      </w:pPr>
      <w:r>
        <w:t>Cerere nutrițională ridicată — datorită fructificării laterale abundente și producției mari, Lara are o cerere susținută de K și N în faza de umplere a miezului; un K „la limita inferioară” a intervalului optim trebuie tratat mai atent la un soi atât de productiv.</w:t>
      </w:r>
    </w:p>
    <w:p>
      <w:pPr>
        <w:pStyle w:val="ListBullet"/>
      </w:pPr>
      <w:r>
        <w:t>Pornire timpurie spre mijlocie — expunere mai mare la înghețuri târzii și bacterioză decât la soiurile foarte târzii; se confirmă vizual maturitatea frunzelor înainte de prelevarea din iulie.</w:t>
      </w:r>
    </w:p>
    <w:p>
      <w:pPr>
        <w:pStyle w:val="ListBullet"/>
      </w:pPr>
      <w:r>
        <w:t>Vigoare și precocitate — echilibrul N previne creșterea vegetativă excesivă în detrimentul rodirii.</w:t>
      </w:r>
    </w:p>
    <w:p>
      <w:pPr>
        <w:pStyle w:val="ListBullet"/>
      </w:pPr>
      <w:r>
        <w:t>Blackline (portaltoi) — pe portaltoi sensibili, boala liniei negre (blackline) produce declin, îngălbenire și defoliere care pot mima carențe nutriționale; aceste simptome NU se interpretează ca deficiență de nutrienți.</w:t>
      </w:r>
    </w:p>
    <w:p>
      <w:pPr/>
      <w:r>
        <w:t>Regulă internă EDTA Plant: orice prag prezentat ca „specific Lara” într-un raport trebuie susținut de o sursă științifică dedicată soiului; în absența acesteia, se folosesc și se citează explicit standardele generale Juglans regia.</w:t>
      </w:r>
    </w:p>
    <w:p>
      <w:pPr>
        <w:pStyle w:val="Heading1"/>
      </w:pPr>
      <w:r>
        <w:t>7. Corelarea rezultatelor cu câmpul, producția și calitatea miezului</w:t>
      </w:r>
    </w:p>
    <w:tbl>
      <w:tblPr>
        <w:tblStyle w:val="TableGrid"/>
        <w:tblW w:type="auto" w:w="0"/>
        <w:tblLook w:firstColumn="1" w:firstRow="1" w:lastColumn="0" w:lastRow="0" w:noHBand="0" w:noVBand="1" w:val="04A0"/>
      </w:tblPr>
      <w:tblGrid>
        <w:gridCol w:w="4320"/>
        <w:gridCol w:w="4320"/>
      </w:tblGrid>
      <w:tr>
        <w:tc>
          <w:tcPr>
            <w:tcW w:type="dxa" w:w="4320"/>
          </w:tcPr>
          <w:p>
            <w:r>
              <w:rPr>
                <w:b/>
              </w:rPr>
              <w:t>Rezultat foliar</w:t>
            </w:r>
          </w:p>
        </w:tc>
        <w:tc>
          <w:tcPr>
            <w:tcW w:type="dxa" w:w="4320"/>
          </w:tcPr>
          <w:p>
            <w:r>
              <w:rPr>
                <w:b/>
              </w:rPr>
              <w:t>Corelație probabilă în câmp / producție / calitate</w:t>
            </w:r>
          </w:p>
        </w:tc>
      </w:tr>
      <w:tr>
        <w:tc>
          <w:tcPr>
            <w:tcW w:type="dxa" w:w="4320"/>
          </w:tcPr>
          <w:p>
            <w:r>
              <w:t>N scăzut (&lt; 2,1–2,3 %)</w:t>
            </w:r>
          </w:p>
        </w:tc>
        <w:tc>
          <w:tcPr>
            <w:tcW w:type="dxa" w:w="4320"/>
          </w:tcPr>
          <w:p>
            <w:r>
              <w:t>Frunze mici/palide, lăstari scurți, defoliere timpurie; risc de scădere a producției</w:t>
            </w:r>
          </w:p>
        </w:tc>
      </w:tr>
      <w:tr>
        <w:tc>
          <w:tcPr>
            <w:tcW w:type="dxa" w:w="4320"/>
          </w:tcPr>
          <w:p>
            <w:r>
              <w:t>N excesiv (&gt; 3,2 %)</w:t>
            </w:r>
          </w:p>
        </w:tc>
        <w:tc>
          <w:tcPr>
            <w:tcW w:type="dxa" w:w="4320"/>
          </w:tcPr>
          <w:p>
            <w:r>
              <w:t>Vigoare vegetativă mare, foliaj des; reevaluarea fertilizării, risc de mediu</w:t>
            </w:r>
          </w:p>
        </w:tc>
      </w:tr>
      <w:tr>
        <w:tc>
          <w:tcPr>
            <w:tcW w:type="dxa" w:w="4320"/>
          </w:tcPr>
          <w:p>
            <w:r>
              <w:t>K scăzut (&lt; 1,2 %)</w:t>
            </w:r>
          </w:p>
        </w:tc>
        <w:tc>
          <w:tcPr>
            <w:tcW w:type="dxa" w:w="4320"/>
          </w:tcPr>
          <w:p>
            <w:r>
              <w:t>Răsucirea marginilor foliolelor, frunze/fructe mai mici, producție redusă</w:t>
            </w:r>
          </w:p>
        </w:tc>
      </w:tr>
      <w:tr>
        <w:tc>
          <w:tcPr>
            <w:tcW w:type="dxa" w:w="4320"/>
          </w:tcPr>
          <w:p>
            <w:r>
              <w:t>B toxic (&gt; 300 ppm)</w:t>
            </w:r>
          </w:p>
        </w:tc>
        <w:tc>
          <w:tcPr>
            <w:tcW w:type="dxa" w:w="4320"/>
          </w:tcPr>
          <w:p>
            <w:r>
              <w:t>Arsuri/necroze la vârful și marginea frunzelor mature; afectarea calității</w:t>
            </w:r>
          </w:p>
        </w:tc>
      </w:tr>
      <w:tr>
        <w:tc>
          <w:tcPr>
            <w:tcW w:type="dxa" w:w="4320"/>
          </w:tcPr>
          <w:p>
            <w:r>
              <w:t>B deficitar (&lt; 20 ppm)</w:t>
            </w:r>
          </w:p>
        </w:tc>
        <w:tc>
          <w:tcPr>
            <w:tcW w:type="dxa" w:w="4320"/>
          </w:tcPr>
          <w:p>
            <w:r>
              <w:t>Legare slabă, calitate scăzută a fructelor</w:t>
            </w:r>
          </w:p>
        </w:tc>
      </w:tr>
      <w:tr>
        <w:tc>
          <w:tcPr>
            <w:tcW w:type="dxa" w:w="4320"/>
          </w:tcPr>
          <w:p>
            <w:r>
              <w:t>Zn deficitar (&lt; 18–20 ppm)</w:t>
            </w:r>
          </w:p>
        </w:tc>
        <w:tc>
          <w:tcPr>
            <w:tcW w:type="dxa" w:w="4320"/>
          </w:tcPr>
          <w:p>
            <w:r>
              <w:t>„Little leaf”/rozetare, cloroză la vârful lăstarilor, pornire întârziată</w:t>
            </w:r>
          </w:p>
        </w:tc>
      </w:tr>
      <w:tr>
        <w:tc>
          <w:tcPr>
            <w:tcW w:type="dxa" w:w="4320"/>
          </w:tcPr>
          <w:p>
            <w:r>
              <w:t>Na/Cl ridicat</w:t>
            </w:r>
          </w:p>
        </w:tc>
        <w:tc>
          <w:tcPr>
            <w:tcW w:type="dxa" w:w="4320"/>
          </w:tcPr>
          <w:p>
            <w:r>
              <w:t>Arsuri marginale de salinitate; verificarea apei de irigație și a solului</w:t>
            </w:r>
          </w:p>
        </w:tc>
      </w:tr>
    </w:tbl>
    <w:p/>
    <w:p>
      <w:pPr/>
      <w:r>
        <w:t>Interpretarea corectă combină întotdeauna trei surse: (1) valoarea foliară raportată la pragurile din capitolul 4, (2) simptomele vizuale din câmp și (3) contextul de sol/apă. O singură valoare izolată nu este suficientă pentru o recomandare fermă.</w:t>
      </w:r>
    </w:p>
    <w:p>
      <w:pPr>
        <w:pStyle w:val="Heading1"/>
      </w:pPr>
      <w:r>
        <w:t>8. Recomandări practice pentru chimiști la interpretarea rapoartelor</w:t>
      </w:r>
    </w:p>
    <w:p>
      <w:pPr>
        <w:pStyle w:val="ListBullet"/>
      </w:pPr>
      <w:r>
        <w:t>Verificați întâi conformitatea probei (perioadă, organ, număr, stare) – capitolul 3.4 – înainte de a interpreta valorile.</w:t>
      </w:r>
    </w:p>
    <w:p>
      <w:pPr>
        <w:pStyle w:val="ListBullet"/>
      </w:pPr>
      <w:r>
        <w:t>Raportați fiecare element la pragurile UC din capitolul 4, precizând unitatea corectă (% s.u. pentru macro, ppm pentru micro).</w:t>
      </w:r>
    </w:p>
    <w:p>
      <w:pPr>
        <w:pStyle w:val="ListBullet"/>
      </w:pPr>
      <w:r>
        <w:t>Marcați explicit că pragurile sunt generale pentru Juglans regia (aplicate soiului Lara), nu validate separat pentru Lara.</w:t>
      </w:r>
    </w:p>
    <w:p>
      <w:pPr>
        <w:pStyle w:val="ListBullet"/>
      </w:pPr>
      <w:r>
        <w:t>Semnalați valorile de microelemente suspecte de contaminare (stropiri foliare recente cu Zn/B/Cu/Mn) ca posibil fals-ridicate.</w:t>
      </w:r>
    </w:p>
    <w:p>
      <w:pPr>
        <w:pStyle w:val="ListBullet"/>
      </w:pPr>
      <w:r>
        <w:t>Pentru B, corelați obligatoriu cu apa de irigație (fereastră îngustă carență–toxicitate).</w:t>
      </w:r>
    </w:p>
    <w:p>
      <w:pPr>
        <w:pStyle w:val="ListBullet"/>
      </w:pPr>
      <w:r>
        <w:t>Deosebiți simptomele de blackline / boli de portaltoi de carențele nutriționale reale.</w:t>
      </w:r>
    </w:p>
    <w:p>
      <w:pPr>
        <w:pStyle w:val="ListBullet"/>
      </w:pPr>
      <w:r>
        <w:t>Recomandați diagnosticul diferențiat (pomi buni vs. pomi suspecți, prelevați separat) când există simptome de câmp.</w:t>
      </w:r>
    </w:p>
    <w:p>
      <w:pPr>
        <w:pStyle w:val="ListBullet"/>
      </w:pPr>
      <w:r>
        <w:t>Formulați concluzia pe baza a cel puțin trei surse: valoare foliară + simptome de câmp + context sol/apă.</w:t>
      </w:r>
    </w:p>
    <w:p>
      <w:pPr>
        <w:pStyle w:val="ListBullet"/>
      </w:pPr>
      <w:r>
        <w:t>Citați în raport sursele de praguri utilizate (Bibliografie / Anexa „Surse utilizate”).</w:t>
      </w:r>
    </w:p>
    <w:p>
      <w:pPr/>
    </w:p>
    <w:p>
      <w:pPr>
        <w:pStyle w:val="Heading1"/>
      </w:pPr>
      <w:r>
        <w:t>Bibliografie</w:t>
      </w:r>
    </w:p>
    <w:p>
      <w:pPr/>
      <w:r>
        <w:t>[1] Geisseler, D. (2015). California Crop Fertilization Guidelines – Walnut. CDFA-FREP &amp; UC Davis. Disponibil la: https://www.cdfa.ca.gov/is/ffldrs/frep/FertilizationGuidelines/Walnut.html</w:t>
      </w:r>
    </w:p>
    <w:p>
      <w:pPr/>
      <w:r>
        <w:t>[2] Geisseler, D. Nutrient Management – Walnut (versiune UC Davis). University of California, Davis. Disponibil la: http://geisseler.ucdavis.edu/Guidelines/Walnut.html</w:t>
      </w:r>
    </w:p>
    <w:p>
      <w:pPr/>
      <w:r>
        <w:t>[3] Beede, R. (Bob). Walnut Nutrition – How to Develop a Balanced Program. UC Cooperative Extension (extras din Walnut Production Manual, UC ANR Pub. 3373/3573). Disponibil la: https://ucanr.edu/sites/default/files/2013-02/161801.pdf</w:t>
      </w:r>
    </w:p>
    <w:p>
      <w:pPr/>
      <w:r>
        <w:t>[4] Brown, P.H., Uriu, K. (1998). Nutritional deficiencies and toxicities in walnut: Diagnosis and correcting imbalances. În: Ramos, D.E. (ed.), Walnut Production Manual, UC ANR Publication 3373, pp. 187–196. Disponibil la: https://anrcatalog.ucanr.edu/Details.aspx?itemNo=3373</w:t>
      </w:r>
    </w:p>
    <w:p>
      <w:pPr/>
      <w:r>
        <w:t>[5] Lazicki, P., Geisseler, D. (2016). Plant Tissue Sampling in Orchards and Vineyards. UC Davis / CDFA. Disponibil la: https://apps1.cdfa.ca.gov/FertilizerResearch/docs/Orchard_Tissue_Sampling.pdf</w:t>
      </w:r>
    </w:p>
    <w:p>
      <w:pPr/>
      <w:r>
        <w:t>[6] Della Valle Laboratory. Walnut Leaf Sampling Guide. Disponibil la: https://dellavallelab.com/wp-content/uploads/2022/11/Walnut-Sampling-Guide-Final.pdf</w:t>
      </w:r>
    </w:p>
    <w:p>
      <w:pPr/>
      <w:r>
        <w:t>[7] FGL Environmental. Walnut – Procedures for Soil and Plant Tissue Sampling. Disponibil la: https://fglinc.com/wordpress/wp-content/uploads/2020/08/Walnut_Leaf_and_Soil.pdf</w:t>
      </w:r>
    </w:p>
    <w:p>
      <w:pPr/>
      <w:r>
        <w:t>[8] UC Statewide IPM Program (UC IPM). Zinc Deficiency – Home and Landscape. Disponibil la: http://ipm.ucanr.edu/PMG/GARDEN/PLANTS/DISORDERS/zincdeficiency.html</w:t>
      </w:r>
    </w:p>
    <w:p>
      <w:pPr/>
      <w:r>
        <w:t>[9] UC Statewide IPM Program (UC IPM). Blackline – Walnut, Pest Management Guidelines. Disponibil la: https://ipm.ucanr.edu/agriculture/walnut/blackline/</w:t>
      </w:r>
    </w:p>
    <w:p>
      <w:pPr/>
      <w:r>
        <w:t>[10] UC Statewide IPM Program (UC IPM). Walnut Blight – Walnut, Pest Management Guidelines. Disponibil la: https://ipm.ucanr.edu/agriculture/walnut/walnut-blight/</w:t>
      </w:r>
    </w:p>
    <w:p>
      <w:pPr/>
      <w:r>
        <w:t>[11] UCCE Water &amp; Climate Program (Mendocino &amp; Lake). Water Quality Technical Note – Boron (B). Disponibil la: https://ucanr.edu/site/water-resources-management/article/water-quality-technical-note-boron-b</w:t>
      </w:r>
    </w:p>
    <w:p>
      <w:pPr/>
      <w:r>
        <w:t>[12] Brdar-Jokanović, M. (2020). Boron Toxicity and Deficiency in Agricultural Plants. International Journal of Molecular Sciences, 21(4):1424 (peer-reviewed). Disponibil la: https://pmc.ncbi.nlm.nih.gov/articles/PMC7073067/</w:t>
      </w:r>
    </w:p>
    <w:p>
      <w:pPr/>
      <w:r>
        <w:t>[13] Royal Horticultural Society (RHS). Juglans regia ‘Lara’ (F) – walnut ‘Lara’ (fișă de soi). Disponibil la: https://www.rhs.org.uk/plants/59459/juglans-regia-lara-(f)/details</w:t>
      </w:r>
    </w:p>
    <w:p>
      <w:pPr/>
    </w:p>
    <w:p>
      <w:pPr>
        <w:pStyle w:val="Heading1"/>
      </w:pPr>
      <w:r>
        <w:t>Anexă – Surse utilizate</w:t>
      </w:r>
    </w:p>
    <w:p>
      <w:pPr/>
      <w:r>
        <w:t>Pentru fiecare sursă sunt indicate: titlul publicației, autorii, instituția emitentă, anul, linkul direct (verificat funcțional) și un scurt rezumat al informațiilor preluate + modul de utilizare în ghid.</w:t>
      </w:r>
    </w:p>
    <w:p>
      <w:pPr>
        <w:pStyle w:val="Heading3"/>
      </w:pPr>
      <w:r>
        <w:t>Sursa 1: California Crop Fertilization Guidelines – Walnut</w:t>
      </w:r>
    </w:p>
    <w:p>
      <w:pPr/>
      <w:r>
        <w:t>Autori: Daniel Geisseler (Ph.D., UCCE Specialist in Nutrient Management)</w:t>
      </w:r>
    </w:p>
    <w:p>
      <w:pPr/>
      <w:r>
        <w:t>Instituția emitentă: CDFA – Fertilizer Research and Education Program (FREP) &amp; University of California, Davis</w:t>
      </w:r>
    </w:p>
    <w:p>
      <w:pPr/>
      <w:r>
        <w:t>Anul publicării: 2015 (ultima actualizare)</w:t>
      </w:r>
    </w:p>
    <w:p>
      <w:pPr/>
      <w:r>
        <w:t>Link direct (verificat funcțional): https://www.cdfa.ca.gov/is/ffldrs/frep/FertilizationGuidelines/Walnut.html</w:t>
      </w:r>
    </w:p>
    <w:p>
      <w:pPr/>
      <w:r>
        <w:t>Rezumatul informațiilor preluate: Ghid oficial de fertilizare a nucului: procedura de prelevare foliară (iulie, foliole terminale de pe pinteni nefructiferi, ~50 foliole, 5–10 pomi/bloc), valorile critice pentru N (2,2–3,2 %), P (0,1–0,3 %), K (&gt; 1,2 %), interpretarea rezultatelor și simptomele de carență N/K.</w:t>
      </w:r>
    </w:p>
    <w:p>
      <w:pPr/>
      <w:r>
        <w:t>Mod de utilizare în ghid: Sursă principală pentru protocolul de prelevare (cap. 3), pragurile de macroelemente (cap. 4.1) și interpretarea N, P, K (cap. 5).</w:t>
      </w:r>
    </w:p>
    <w:p>
      <w:pPr>
        <w:pStyle w:val="Heading3"/>
      </w:pPr>
      <w:r>
        <w:t>Sursa 2: Nutrient Management – Walnut (versiunea UC Davis a ghidului de fertilizare)</w:t>
      </w:r>
    </w:p>
    <w:p>
      <w:pPr/>
      <w:r>
        <w:t>Autori: Daniel Geisseler (Ph.D.); recenzenți: J.A. Grant, K.S. Pope, W.R. Horwath</w:t>
      </w:r>
    </w:p>
    <w:p>
      <w:pPr/>
      <w:r>
        <w:t>Instituția emitentă: University of California, Davis – Department of Land, Air and Water Resources</w:t>
      </w:r>
    </w:p>
    <w:p>
      <w:pPr/>
      <w:r>
        <w:t>Anul publicării: 2015</w:t>
      </w:r>
    </w:p>
    <w:p>
      <w:pPr/>
      <w:r>
        <w:t>Link direct (verificat funcțional): http://geisseler.ucdavis.edu/Guidelines/Walnut.html</w:t>
      </w:r>
    </w:p>
    <w:p>
      <w:pPr/>
      <w:r>
        <w:t>Rezumatul informațiilor preluate: Varianta găzduită de UC Davis a aceluiași ghid de fertilizare a nucului, cu detalii pe elemente și pe fenofaze.</w:t>
      </w:r>
    </w:p>
    <w:p>
      <w:pPr/>
      <w:r>
        <w:t>Mod de utilizare în ghid: Confirmare încrucișată a pragurilor și a procedurii de prelevare (cap. 3 și 4).</w:t>
      </w:r>
    </w:p>
    <w:p>
      <w:pPr>
        <w:pStyle w:val="Heading3"/>
      </w:pPr>
      <w:r>
        <w:t>Sursa 3: Walnut Nutrition – How to Develop a Balanced Program</w:t>
      </w:r>
    </w:p>
    <w:p>
      <w:pPr/>
      <w:r>
        <w:t>Autori: Bob (Robert) Beede (UC Farm Advisor, Kings County)</w:t>
      </w:r>
    </w:p>
    <w:p>
      <w:pPr/>
      <w:r>
        <w:t>Instituția emitentă: University of California Cooperative Extension (bazat pe Walnut Production Manual, UC ANR)</w:t>
      </w:r>
    </w:p>
    <w:p>
      <w:pPr/>
      <w:r>
        <w:t>Anul publicării: cca. 2013</w:t>
      </w:r>
    </w:p>
    <w:p>
      <w:pPr/>
      <w:r>
        <w:t>Link direct (verificat funcțional): https://ucanr.edu/sites/default/files/2013-02/161801.pdf</w:t>
      </w:r>
    </w:p>
    <w:p>
      <w:pPr/>
      <w:r>
        <w:t>Rezumatul informațiilor preluate: Prezentare tehnică privind nutriția nucului: tabelul „Leaf Samples and Critical Values” (N &lt; 2,1 deficient / 2,2–3,2 adecvat; K 0,9 / &gt; 1,2; Zn 18; B &lt; 20 / 36–300 / &gt; 300, toxic), efectul pH-ului asupra disponibilității Zn/Cu/Mn/Fe, bugetul de azot.</w:t>
      </w:r>
    </w:p>
    <w:p>
      <w:pPr/>
      <w:r>
        <w:t>Mod de utilizare în ghid: Sursă pentru pragurile de K, Zn, B (cap. 4.2), notele privind pH-ul (cap. 5.7) și cererea de azot (cap. 5.1).</w:t>
      </w:r>
    </w:p>
    <w:p>
      <w:pPr>
        <w:pStyle w:val="Heading3"/>
      </w:pPr>
      <w:r>
        <w:t>Sursa 4: Nutritional deficiencies and toxicities in walnut: Diagnosis and correcting imbalances (Walnut Production Manual, UC ANR Pub. 3373, pp. 187–196)</w:t>
      </w:r>
    </w:p>
    <w:p>
      <w:pPr/>
      <w:r>
        <w:t>Autori: Patrick H. Brown, Kiyoto Uriu; ed. David E. Ramos</w:t>
      </w:r>
    </w:p>
    <w:p>
      <w:pPr/>
      <w:r>
        <w:t>Instituția emitentă: University of California, Division of Agriculture and Natural Resources (UC ANR)</w:t>
      </w:r>
    </w:p>
    <w:p>
      <w:pPr/>
      <w:r>
        <w:t>Anul publicării: 1998</w:t>
      </w:r>
    </w:p>
    <w:p>
      <w:pPr/>
      <w:r>
        <w:t>Link direct (verificat funcțional): https://anrcatalog.ucanr.edu/Details.aspx?itemNo=3373</w:t>
      </w:r>
    </w:p>
    <w:p>
      <w:pPr/>
      <w:r>
        <w:t>Rezumatul informațiilor preluate: Capitolul de referință privind diagnosticul carențelor și toxicităților la nuc, sursa primară a valorilor critice foliare utilizate ulterior de UC/CDFA și de laboratoarele de referință (citat de ghidul Della Valle).</w:t>
      </w:r>
    </w:p>
    <w:p>
      <w:pPr/>
      <w:r>
        <w:t>Mod de utilizare în ghid: Fundament științific al pragurilor de interpretare (cap. 4) prin lucrările derivate; citat ca sursă-mamă a standardelor de specie.</w:t>
      </w:r>
    </w:p>
    <w:p>
      <w:pPr>
        <w:pStyle w:val="Heading3"/>
      </w:pPr>
      <w:r>
        <w:t>Sursa 5: Plant Tissue Sampling in Orchards and Vineyards</w:t>
      </w:r>
    </w:p>
    <w:p>
      <w:pPr/>
      <w:r>
        <w:t>Autori: Patricia Lazicki, Daniel Geisseler</w:t>
      </w:r>
    </w:p>
    <w:p>
      <w:pPr/>
      <w:r>
        <w:t>Instituția emitentă: University of California, Davis / CDFA-FREP</w:t>
      </w:r>
    </w:p>
    <w:p>
      <w:pPr/>
      <w:r>
        <w:t>Anul publicării: 2016</w:t>
      </w:r>
    </w:p>
    <w:p>
      <w:pPr/>
      <w:r>
        <w:t>Link direct (verificat funcțional): https://apps1.cdfa.ca.gov/FertilizerResearch/docs/Orchard_Tissue_Sampling.pdf</w:t>
      </w:r>
    </w:p>
    <w:p>
      <w:pPr/>
      <w:r>
        <w:t>Rezumatul informațiilor preluate: Ghid general de prelevare a țesutului în livezi și podgorii: momentul optim, organul de prelevat, numărul de probe, evitarea contaminării și a probelor nereprezentative.</w:t>
      </w:r>
    </w:p>
    <w:p>
      <w:pPr/>
      <w:r>
        <w:t>Mod de utilizare în ghid: Bune practici de prelevare, ambalare și evitare a contaminării (cap. 3.3 și 3.4).</w:t>
      </w:r>
    </w:p>
    <w:p>
      <w:pPr>
        <w:pStyle w:val="Heading3"/>
      </w:pPr>
      <w:r>
        <w:t>Sursa 6: Walnut Leaf Sampling Guide</w:t>
      </w:r>
    </w:p>
    <w:p>
      <w:pPr/>
      <w:r>
        <w:t>Autori: Della Valle Laboratory (colectiv tehnic); referințe: Anderson et al. 2006, Brown &amp; Uriu 1998</w:t>
      </w:r>
    </w:p>
    <w:p>
      <w:pPr/>
      <w:r>
        <w:t>Instituția emitentă: Della Valle Laboratory (laborator de referință, Fresno, CA)</w:t>
      </w:r>
    </w:p>
    <w:p>
      <w:pPr/>
      <w:r>
        <w:t>Anul publicării: 2022</w:t>
      </w:r>
    </w:p>
    <w:p>
      <w:pPr/>
      <w:r>
        <w:t>Link direct (verificat funcțional): https://dellavallelab.com/wp-content/uploads/2022/11/Walnut-Sampling-Guide-Final.pdf</w:t>
      </w:r>
    </w:p>
    <w:p>
      <w:pPr/>
      <w:r>
        <w:t>Rezumatul informațiilor preluate: Instrucțiuni operaționale de prelevare: interval mai-septembrie cu referință în iulie, 30–50 foliole terminale de pe pinteni nefructiferi, 1,8–2,4 m înălțime, pomi la ~12 m distanță, pachete de teste (L2/L3), pregătirea probei pentru laborator.</w:t>
      </w:r>
    </w:p>
    <w:p>
      <w:pPr/>
      <w:r>
        <w:t>Mod de utilizare în ghid: Detalii practice de prelevare, numărul de foliole, distanța între pomi, ambalarea în pungă de hârtie (cap. 3.2 și 3.3).</w:t>
      </w:r>
    </w:p>
    <w:p>
      <w:pPr>
        <w:pStyle w:val="Heading3"/>
      </w:pPr>
      <w:r>
        <w:t>Sursa 7: Walnut – Procedures for Soil and Plant Tissue Sampling</w:t>
      </w:r>
    </w:p>
    <w:p>
      <w:pPr/>
      <w:r>
        <w:t>Autori: FGL Environmental (colectiv tehnic)</w:t>
      </w:r>
    </w:p>
    <w:p>
      <w:pPr/>
      <w:r>
        <w:t>Instituția emitentă: FGL Environmental Analytical Laboratories</w:t>
      </w:r>
    </w:p>
    <w:p>
      <w:pPr/>
      <w:r>
        <w:t>Anul publicării: 2020</w:t>
      </w:r>
    </w:p>
    <w:p>
      <w:pPr/>
      <w:r>
        <w:t>Link direct (verificat funcțional): https://fglinc.com/wordpress/wp-content/uploads/2020/08/Walnut_Leaf_and_Soil.pdf</w:t>
      </w:r>
    </w:p>
    <w:p>
      <w:pPr/>
      <w:r>
        <w:t>Rezumatul informațiilor preluate: Procedură de laborator pentru prelevarea de sol și țesut foliar la nuc, cu accent pe obținerea de probe reprezentative pentru analize corecte.</w:t>
      </w:r>
    </w:p>
    <w:p>
      <w:pPr/>
      <w:r>
        <w:t>Mod de utilizare în ghid: Confirmarea criteriilor de reprezentativitate și de acceptare/respingere a probelor (cap. 3.4).</w:t>
      </w:r>
    </w:p>
    <w:p>
      <w:pPr>
        <w:pStyle w:val="Heading3"/>
      </w:pPr>
      <w:r>
        <w:t>Sursa 8: Zinc Deficiency (Home and Landscape)</w:t>
      </w:r>
    </w:p>
    <w:p>
      <w:pPr/>
      <w:r>
        <w:t>Autori: UC Statewide IPM Program (colectiv)</w:t>
      </w:r>
    </w:p>
    <w:p>
      <w:pPr/>
      <w:r>
        <w:t>Instituția emitentă: University of California – UC IPM</w:t>
      </w:r>
    </w:p>
    <w:p>
      <w:pPr/>
      <w:r>
        <w:t>Anul publicării: actualizat periodic</w:t>
      </w:r>
    </w:p>
    <w:p>
      <w:pPr/>
      <w:r>
        <w:t>Link direct (verificat funcțional): http://ipm.ucanr.edu/PMG/GARDEN/PLANTS/DISORDERS/zincdeficiency.html</w:t>
      </w:r>
    </w:p>
    <w:p>
      <w:pPr/>
      <w:r>
        <w:t>Rezumatul informațiilor preluate: Descrierea simptomelor de carență de zinc: „little leaf”, rozetare (internoduri scurtate), cloroză la vârful lăstarilor, pornire în vegetație întârziată.</w:t>
      </w:r>
    </w:p>
    <w:p>
      <w:pPr/>
      <w:r>
        <w:t>Mod de utilizare în ghid: Descrierea simptomelor de carență de Zn și corelarea cu valorile foliare (cap. 5.6 și 7).</w:t>
      </w:r>
    </w:p>
    <w:p>
      <w:pPr>
        <w:pStyle w:val="Heading3"/>
      </w:pPr>
      <w:r>
        <w:t>Sursa 9: Blackline – Walnut (Pest Management Guidelines)</w:t>
      </w:r>
    </w:p>
    <w:p>
      <w:pPr/>
      <w:r>
        <w:t>Autori: UC Statewide IPM Program (colectiv)</w:t>
      </w:r>
    </w:p>
    <w:p>
      <w:pPr/>
      <w:r>
        <w:t>Instituția emitentă: University of California – UC IPM</w:t>
      </w:r>
    </w:p>
    <w:p>
      <w:pPr/>
      <w:r>
        <w:t>Anul publicării: actualizat periodic</w:t>
      </w:r>
    </w:p>
    <w:p>
      <w:pPr/>
      <w:r>
        <w:t>Link direct (verificat funcțional): https://ipm.ucanr.edu/agriculture/walnut/blackline/</w:t>
      </w:r>
    </w:p>
    <w:p>
      <w:pPr/>
      <w:r>
        <w:t>Rezumatul informațiilor preluate: Boala liniei negre distruge țesuturile care transportă apa și nutrienții între portaltoi și altoi, cu declin și defoliere care pot fi confundate cu carențe nutriționale.</w:t>
      </w:r>
    </w:p>
    <w:p>
      <w:pPr/>
      <w:r>
        <w:t>Mod de utilizare în ghid: Baza pentru diferențierea simptomelor de blackline de carențele reale (cap. 1.2, 6, 8).</w:t>
      </w:r>
    </w:p>
    <w:p>
      <w:pPr>
        <w:pStyle w:val="Heading3"/>
      </w:pPr>
      <w:r>
        <w:t>Sursa 10: Walnut Blight – Walnut (Pest Management Guidelines)</w:t>
      </w:r>
    </w:p>
    <w:p>
      <w:pPr/>
      <w:r>
        <w:t>Autori: UC Statewide IPM Program (colectiv)</w:t>
      </w:r>
    </w:p>
    <w:p>
      <w:pPr/>
      <w:r>
        <w:t>Instituția emitentă: University of California – UC IPM</w:t>
      </w:r>
    </w:p>
    <w:p>
      <w:pPr/>
      <w:r>
        <w:t>Anul publicării: actualizat periodic</w:t>
      </w:r>
    </w:p>
    <w:p>
      <w:pPr/>
      <w:r>
        <w:t>Link direct (verificat funcțional): https://ipm.ucanr.edu/agriculture/walnut/walnut-blight/</w:t>
      </w:r>
    </w:p>
    <w:p>
      <w:pPr/>
      <w:r>
        <w:t>Rezumatul informațiilor preluate: Managementul bacteriozei nucului (Xanthomonas arboricola pv. juglandis); soiurile cu pornire târzie cu pornire timpurie spre mijlocie (ca Lara) sunt mai expuse în perioadele ploioase de primăvară.</w:t>
      </w:r>
    </w:p>
    <w:p>
      <w:pPr/>
      <w:r>
        <w:t>Mod de utilizare în ghid: Context privind expunerea mai ridicată la bacterioză a soiului Lara (pornire timpurie spre mijlocie) și influența asupra foliajului (cap. 1.2).</w:t>
      </w:r>
    </w:p>
    <w:p>
      <w:pPr>
        <w:pStyle w:val="Heading3"/>
      </w:pPr>
      <w:r>
        <w:t>Sursa 11: Water Quality Technical Note – Boron (B)</w:t>
      </w:r>
    </w:p>
    <w:p>
      <w:pPr/>
      <w:r>
        <w:t>Autori: UCCE Water &amp; Climate Program (Mendocino &amp; Lake)</w:t>
      </w:r>
    </w:p>
    <w:p>
      <w:pPr/>
      <w:r>
        <w:t>Instituția emitentă: University of California Cooperative Extension</w:t>
      </w:r>
    </w:p>
    <w:p>
      <w:pPr/>
      <w:r>
        <w:t>Anul publicării: actualizat periodic</w:t>
      </w:r>
    </w:p>
    <w:p>
      <w:pPr/>
      <w:r>
        <w:t>Link direct (verificat funcțional): https://ucanr.edu/site/water-resources-management/article/water-quality-technical-note-boron-b</w:t>
      </w:r>
    </w:p>
    <w:p>
      <w:pPr/>
      <w:r>
        <w:t>Rezumatul informațiilor preluate: Praguri de toxicitate a borului din apa de irigație (toxicitate ușoară ~0,5 mg/L, severă ~5 mg/L); borul este imobil în nuc și se acumulează în vârful frunzelor.</w:t>
      </w:r>
    </w:p>
    <w:p>
      <w:pPr/>
      <w:r>
        <w:t>Mod de utilizare în ghid: Interpretarea borului și corelarea cu apa de irigație (cap. 4.3 și 5.5).</w:t>
      </w:r>
    </w:p>
    <w:p>
      <w:pPr>
        <w:pStyle w:val="Heading3"/>
      </w:pPr>
      <w:r>
        <w:t>Sursa 12: Boron Toxicity and Deficiency in Agricultural Plants (Int. J. Mol. Sci., 21(4):1424) – peer-reviewed</w:t>
      </w:r>
    </w:p>
    <w:p>
      <w:pPr/>
      <w:r>
        <w:t>Autori: Milka Brdar-Jokanović</w:t>
      </w:r>
    </w:p>
    <w:p>
      <w:pPr/>
      <w:r>
        <w:t>Instituția emitentă: MDPI / International Journal of Molecular Sciences (indexat, revizuit de specialiști)</w:t>
      </w:r>
    </w:p>
    <w:p>
      <w:pPr/>
      <w:r>
        <w:t>Anul publicării: 2020</w:t>
      </w:r>
    </w:p>
    <w:p>
      <w:pPr/>
      <w:r>
        <w:t>Link direct (verificat funcțional): https://pmc.ncbi.nlm.nih.gov/articles/PMC7073067/</w:t>
      </w:r>
    </w:p>
    <w:p>
      <w:pPr/>
      <w:r>
        <w:t>Rezumatul informațiilor preluate: Sinteză peer-reviewed asupra toxicității și carenței de bor la plante: intervalul îngust dintre deficiență și toxicitate și efectele asupra producției.</w:t>
      </w:r>
    </w:p>
    <w:p>
      <w:pPr/>
      <w:r>
        <w:t>Mod de utilizare în ghid: Susținerea științifică (peer-reviewed) a afirmației privind fereastra îngustă carență–toxicitate la bor (cap. 4.2 și 5.5).</w:t>
      </w:r>
    </w:p>
    <w:p>
      <w:pPr>
        <w:pStyle w:val="Heading3"/>
      </w:pPr>
      <w:r>
        <w:t>Sursa 13: Juglans regia ‘Lara’ (fișă de soi RHS)</w:t>
      </w:r>
    </w:p>
    <w:p>
      <w:pPr/>
      <w:r>
        <w:t>Autori: Royal Horticultural Society (colectiv tehnic)</w:t>
      </w:r>
    </w:p>
    <w:p>
      <w:pPr/>
      <w:r>
        <w:t>Instituția emitentă: Royal Horticultural Society (RHS), Marea Britanie</w:t>
      </w:r>
    </w:p>
    <w:p>
      <w:pPr/>
      <w:r>
        <w:t>Anul publicării: actualizat periodic</w:t>
      </w:r>
    </w:p>
    <w:p>
      <w:pPr/>
      <w:r>
        <w:t>Link direct (verificat funcțional, cod HTTP 200): https://www.rhs.org.uk/plants/59459/juglans-regia-lara-(f)/details</w:t>
      </w:r>
    </w:p>
    <w:p>
      <w:pPr/>
      <w:r>
        <w:t>Rezumatul informațiilor preluate: Fișa soiului Lara: soi francez de Juglans regia, nucă mare rotunjită, fructificare laterală, vigoare bună; folosit ca genitor pentru Fernor, Fernette și Ferjean.</w:t>
      </w:r>
    </w:p>
    <w:p>
      <w:pPr/>
      <w:r>
        <w:t>Mod de utilizare în ghid: Descrierea agronomică a soiului Lara (cap. 1.1 și 1.2).</w:t>
      </w:r>
    </w:p>
    <w:p>
      <w:pPr/>
    </w:p>
    <w:p>
      <w:pPr/>
      <w:r>
        <w:t>Toate linkurile din bibliografie și din această anexă au fost verificate ca fiind funcționale (cod HTTP 200) la data ediției (iulie 2026). La reeditare, linkurile trebuie reverificate.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