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800"/>
      </w:pPr>
    </w:p>
    <w:p>
      <w:pPr>
        <w:spacing w:after="40"/>
        <w:jc w:val="center"/>
      </w:pPr>
      <w:r>
        <w:rPr>
          <w:b/>
          <w:i w:val="0"/>
          <w:color w:val="0F5C3F"/>
          <w:sz w:val="44"/>
        </w:rPr>
        <w:t>EDTA PLANT</w:t>
      </w:r>
    </w:p>
    <w:p>
      <w:pPr>
        <w:spacing w:after="800"/>
        <w:jc w:val="center"/>
      </w:pPr>
      <w:r>
        <w:rPr>
          <w:b w:val="0"/>
          <w:i/>
          <w:color w:val="555555"/>
          <w:sz w:val="24"/>
        </w:rPr>
        <w:t>Laborator de Analize – Manual Tehnic Intern</w:t>
      </w:r>
    </w:p>
    <w:p>
      <w:pPr>
        <w:spacing w:after="80"/>
        <w:jc w:val="center"/>
      </w:pPr>
      <w:r>
        <w:rPr>
          <w:b/>
          <w:i w:val="0"/>
          <w:color w:val="1F2F26"/>
          <w:sz w:val="30"/>
        </w:rPr>
        <w:t>GHID TEHNIC INTERN</w:t>
      </w:r>
    </w:p>
    <w:p>
      <w:pPr>
        <w:spacing w:after="40"/>
        <w:jc w:val="center"/>
      </w:pPr>
      <w:r>
        <w:rPr>
          <w:b/>
          <w:i w:val="0"/>
          <w:color w:val="0F5C3F"/>
          <w:sz w:val="40"/>
        </w:rPr>
        <w:t>Interpretarea analizelor de țesut foliar la nuc</w:t>
      </w:r>
    </w:p>
    <w:p>
      <w:pPr>
        <w:spacing w:after="1200"/>
        <w:jc w:val="center"/>
      </w:pPr>
      <w:r>
        <w:rPr>
          <w:b/>
          <w:i/>
          <w:color w:val="198754"/>
          <w:sz w:val="32"/>
        </w:rPr>
        <w:t>Juglans regia – soiul Chandler</w:t>
      </w:r>
    </w:p>
    <w:p>
      <w:pPr>
        <w:spacing w:after="40"/>
        <w:jc w:val="center"/>
      </w:pPr>
      <w:r>
        <w:rPr>
          <w:b w:val="0"/>
          <w:i/>
          <w:color w:val="555555"/>
          <w:sz w:val="22"/>
        </w:rPr>
        <w:t>Document intern destinat exclusiv echipei de chimiști EDTA Plant</w:t>
      </w:r>
    </w:p>
    <w:p>
      <w:pPr>
        <w:spacing w:after="1200"/>
        <w:jc w:val="center"/>
      </w:pPr>
      <w:r>
        <w:rPr>
          <w:b w:val="0"/>
          <w:i/>
          <w:color w:val="555555"/>
          <w:sz w:val="22"/>
        </w:rPr>
        <w:t>Standard oficial pentru prelevarea și interpretarea analizelor de țesut la soiul Chandler</w:t>
      </w:r>
    </w:p>
    <w:p>
      <w:pPr>
        <w:spacing w:after="40"/>
        <w:jc w:val="center"/>
      </w:pPr>
      <w:r>
        <w:rPr>
          <w:b/>
          <w:i w:val="0"/>
          <w:color w:val="1F2F26"/>
          <w:sz w:val="22"/>
        </w:rPr>
        <w:t>Ediția 1 · Iulie 2026</w:t>
      </w:r>
    </w:p>
    <w:p>
      <w:pPr>
        <w:spacing w:after="120"/>
        <w:jc w:val="center"/>
      </w:pPr>
      <w:r>
        <w:rPr>
          <w:b w:val="0"/>
          <w:i/>
          <w:color w:val="555555"/>
          <w:sz w:val="18"/>
        </w:rPr>
        <w:t>Versiune controlată – a se cita împreună cu sursele din Anexa „Surse utilizate”</w:t>
      </w:r>
    </w:p>
    <w:p>
      <w:r>
        <w:br w:type="page"/>
      </w:r>
    </w:p>
    <w:p>
      <w:pPr>
        <w:spacing w:after="160"/>
      </w:pPr>
      <w:r>
        <w:rPr>
          <w:b/>
          <w:i w:val="0"/>
          <w:color w:val="0F5C3F"/>
          <w:sz w:val="32"/>
        </w:rPr>
        <w:t>Cuprins</w:t>
      </w:r>
    </w:p>
    <w:p>
      <w:r>
        <w:fldChar w:fldCharType="begin"/>
        <w:instrText xml:space="preserve">TOC \o "1-2" \h \z \u</w:instrText>
        <w:fldChar w:fldCharType="separate"/>
        <w:t>Actualizați câmpul (clic dreapta → Update Field) pentru a genera cuprinsul.</w:t>
        <w:fldChar w:fldCharType="end"/>
      </w:r>
    </w:p>
    <w:p>
      <w:r>
        <w:br w:type="page"/>
      </w:r>
    </w:p>
    <w:p>
      <w:pPr>
        <w:pStyle w:val="Heading1"/>
      </w:pPr>
      <w:r>
        <w:t>Scopul și utilizarea ghidului</w:t>
      </w:r>
    </w:p>
    <w:p>
      <w:pPr>
        <w:spacing w:after="120"/>
      </w:pPr>
      <w:r>
        <w:rPr>
          <w:b w:val="0"/>
          <w:i w:val="0"/>
          <w:sz w:val="22"/>
        </w:rPr>
        <w:t>Prezentul ghid stabilește procedura internă EDTA Plant pentru prelevarea și, mai ales, interpretarea analizelor de țesut foliar la nucul comun (Juglans regia L.), cu accent pe soiul Chandler. Documentul este destinat exclusiv chimiștilor laboratorului și are rol de referință tehnică la redactarea și validarea rapoartelor de analiză.</w:t>
      </w:r>
    </w:p>
    <w:p>
      <w:pPr>
        <w:spacing w:after="120"/>
      </w:pPr>
      <w:r>
        <w:rPr>
          <w:b w:val="0"/>
          <w:i w:val="0"/>
          <w:sz w:val="22"/>
        </w:rP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b/>
          <w:color w:val="0F5C3F"/>
        </w:rPr>
        <w:t xml:space="preserve">Precizare metodologică esențială: </w:t>
      </w:r>
      <w:r>
        <w:t>nu există, în literatura științifică publicată și verificabilă, praguri de interpretare a țesutului foliar validate separat pentru soiul Chandler. Standardele de interpretare (carență / optim / exces) utilizate în acest ghid sunt cele generale pentru Juglans regia, stabilite de Universitatea California (UC ANR / UC Davis) și de programul de fertilizare CDFA-FREP. Ele se aplică soiului Chandler ca recomandări generale pentru specie și sunt marcate explicit ca atare în text. Particularitățile Chandler sunt tratate separat, la nivel agronomic și de management, acolo unde sunt demonstrate în literatură.</w:t>
      </w:r>
    </w:p>
    <w:p>
      <w:pPr>
        <w:pStyle w:val="Heading1"/>
      </w:pPr>
      <w:r>
        <w:t>1. Descrierea soiului Chandler și particularități agronomice</w:t>
      </w:r>
    </w:p>
    <w:p>
      <w:pPr>
        <w:spacing w:after="120"/>
      </w:pPr>
      <w:r>
        <w:rPr>
          <w:b w:val="0"/>
          <w:i w:val="0"/>
          <w:sz w:val="22"/>
        </w:rPr>
        <w:t>‘Chandler’ este un soi de nuc englezesc (Juglans regia) obținut în cadrul programului de ameliorare al Universității California, Davis (amelioratori Eugene F. Serr și Harold I. Forde), dintr-o încrucișare realizată în 1963 (56-224 × Pedro) și introdus comercial în 1979. Este astăzi unul dintre cele mai plantate soiuri de nuc din lume, apreciat pentru productivitate și pentru calitatea superioară a miezului.</w:t>
      </w:r>
    </w:p>
    <w:p>
      <w:pPr>
        <w:pStyle w:val="Heading2"/>
      </w:pPr>
      <w:r>
        <w:t>1.1. Caracteristici agronomice cheie</w:t>
      </w:r>
    </w:p>
    <w:tbl>
      <w:tblPr>
        <w:tblStyle w:val="TableGrid"/>
        <w:tblW w:type="auto" w:w="0"/>
        <w:jc w:val="center"/>
        <w:tblLook w:firstColumn="1" w:firstRow="1" w:lastColumn="0" w:lastRow="0" w:noHBand="0" w:noVBand="1" w:val="04A0"/>
      </w:tblPr>
      <w:tblGrid>
        <w:gridCol w:w="4320"/>
        <w:gridCol w:w="4320"/>
      </w:tblGrid>
      <w:tr>
        <w:tc>
          <w:tcPr>
            <w:tcW w:type="dxa" w:w="2835"/>
            <w:shd w:val="clear" w:color="auto" w:fill="0F5C3F"/>
          </w:tcPr>
          <w:p>
            <w:r/>
            <w:r>
              <w:rPr>
                <w:b/>
                <w:color w:val="FFFFFF"/>
                <w:sz w:val="20"/>
              </w:rPr>
              <w:t>Însușire</w:t>
            </w:r>
          </w:p>
        </w:tc>
        <w:tc>
          <w:tcPr>
            <w:tcW w:type="dxa" w:w="6236"/>
            <w:shd w:val="clear" w:color="auto" w:fill="0F5C3F"/>
          </w:tcPr>
          <w:p>
            <w:r/>
            <w:r>
              <w:rPr>
                <w:b/>
                <w:color w:val="FFFFFF"/>
                <w:sz w:val="20"/>
              </w:rPr>
              <w:t>Descriere</w:t>
            </w:r>
          </w:p>
        </w:tc>
      </w:tr>
      <w:tr>
        <w:tc>
          <w:tcPr>
            <w:tcW w:type="dxa" w:w="2835"/>
          </w:tcPr>
          <w:p>
            <w:r/>
            <w:r>
              <w:rPr>
                <w:b/>
                <w:sz w:val="19"/>
              </w:rPr>
              <w:t>Origine / an</w:t>
            </w:r>
          </w:p>
        </w:tc>
        <w:tc>
          <w:tcPr>
            <w:tcW w:type="dxa" w:w="6236"/>
          </w:tcPr>
          <w:p>
            <w:r/>
            <w:r>
              <w:rPr>
                <w:sz w:val="19"/>
              </w:rPr>
              <w:t>UC Davis (Serr &amp; Forde); introdus comercial în 1979</w:t>
            </w:r>
          </w:p>
        </w:tc>
      </w:tr>
      <w:tr>
        <w:tc>
          <w:tcPr>
            <w:tcW w:type="dxa" w:w="2835"/>
          </w:tcPr>
          <w:p>
            <w:r/>
            <w:r>
              <w:rPr>
                <w:b/>
                <w:sz w:val="19"/>
              </w:rPr>
              <w:t>Pornire în vegetație</w:t>
            </w:r>
          </w:p>
        </w:tc>
        <w:tc>
          <w:tcPr>
            <w:tcW w:type="dxa" w:w="6236"/>
          </w:tcPr>
          <w:p>
            <w:r/>
            <w:r>
              <w:rPr>
                <w:sz w:val="19"/>
              </w:rPr>
              <w:t>Foarte târzie (cca. 18 zile după soiul Payne)</w:t>
            </w:r>
          </w:p>
        </w:tc>
      </w:tr>
      <w:tr>
        <w:tc>
          <w:tcPr>
            <w:tcW w:type="dxa" w:w="2835"/>
          </w:tcPr>
          <w:p>
            <w:r/>
            <w:r>
              <w:rPr>
                <w:b/>
                <w:sz w:val="19"/>
              </w:rPr>
              <w:t>Înflorire</w:t>
            </w:r>
          </w:p>
        </w:tc>
        <w:tc>
          <w:tcPr>
            <w:tcW w:type="dxa" w:w="6236"/>
          </w:tcPr>
          <w:p>
            <w:r/>
            <w:r>
              <w:rPr>
                <w:sz w:val="19"/>
              </w:rPr>
              <w:t>Târzie; protandric/omogen, necesită polenizator (ex. Franquette, Cisco)</w:t>
            </w:r>
          </w:p>
        </w:tc>
      </w:tr>
      <w:tr>
        <w:tc>
          <w:tcPr>
            <w:tcW w:type="dxa" w:w="2835"/>
          </w:tcPr>
          <w:p>
            <w:r/>
            <w:r>
              <w:rPr>
                <w:b/>
                <w:sz w:val="19"/>
              </w:rPr>
              <w:t>Tip de fructificare</w:t>
            </w:r>
          </w:p>
        </w:tc>
        <w:tc>
          <w:tcPr>
            <w:tcW w:type="dxa" w:w="6236"/>
          </w:tcPr>
          <w:p>
            <w:r/>
            <w:r>
              <w:rPr>
                <w:sz w:val="19"/>
              </w:rPr>
              <w:t>Fructificare laterală abundentă (85–90% muguri laterali fertili)</w:t>
            </w:r>
          </w:p>
        </w:tc>
      </w:tr>
      <w:tr>
        <w:tc>
          <w:tcPr>
            <w:tcW w:type="dxa" w:w="2835"/>
          </w:tcPr>
          <w:p>
            <w:r/>
            <w:r>
              <w:rPr>
                <w:b/>
                <w:sz w:val="19"/>
              </w:rPr>
              <w:t>Epoca de recoltare</w:t>
            </w:r>
          </w:p>
        </w:tc>
        <w:tc>
          <w:tcPr>
            <w:tcW w:type="dxa" w:w="6236"/>
          </w:tcPr>
          <w:p>
            <w:r/>
            <w:r>
              <w:rPr>
                <w:sz w:val="19"/>
              </w:rPr>
              <w:t>Mijlocie spre târzie (finalul lunii septembrie – început de octombrie)</w:t>
            </w:r>
          </w:p>
        </w:tc>
      </w:tr>
      <w:tr>
        <w:tc>
          <w:tcPr>
            <w:tcW w:type="dxa" w:w="2835"/>
          </w:tcPr>
          <w:p>
            <w:r/>
            <w:r>
              <w:rPr>
                <w:b/>
                <w:sz w:val="19"/>
              </w:rPr>
              <w:t>Fructul / miezul</w:t>
            </w:r>
          </w:p>
        </w:tc>
        <w:tc>
          <w:tcPr>
            <w:tcW w:type="dxa" w:w="6236"/>
          </w:tcPr>
          <w:p>
            <w:r/>
            <w:r>
              <w:rPr>
                <w:sz w:val="19"/>
              </w:rPr>
              <w:t>Nucă mare, coajă netedă bine sudată; miez de culoare deschisă (&gt;90% extra-light)</w:t>
            </w:r>
          </w:p>
        </w:tc>
      </w:tr>
      <w:tr>
        <w:tc>
          <w:tcPr>
            <w:tcW w:type="dxa" w:w="2835"/>
          </w:tcPr>
          <w:p>
            <w:r/>
            <w:r>
              <w:rPr>
                <w:b/>
                <w:sz w:val="19"/>
              </w:rPr>
              <w:t>Vigoare</w:t>
            </w:r>
          </w:p>
        </w:tc>
        <w:tc>
          <w:tcPr>
            <w:tcW w:type="dxa" w:w="6236"/>
          </w:tcPr>
          <w:p>
            <w:r/>
            <w:r>
              <w:rPr>
                <w:sz w:val="19"/>
              </w:rPr>
              <w:t>Moderată, port semi-erect</w:t>
            </w:r>
          </w:p>
        </w:tc>
      </w:tr>
      <w:tr>
        <w:tc>
          <w:tcPr>
            <w:tcW w:type="dxa" w:w="2835"/>
          </w:tcPr>
          <w:p>
            <w:r/>
            <w:r>
              <w:rPr>
                <w:b/>
                <w:sz w:val="19"/>
              </w:rPr>
              <w:t>Necesar de frig</w:t>
            </w:r>
          </w:p>
        </w:tc>
        <w:tc>
          <w:tcPr>
            <w:tcW w:type="dxa" w:w="6236"/>
          </w:tcPr>
          <w:p>
            <w:r/>
            <w:r>
              <w:rPr>
                <w:sz w:val="19"/>
              </w:rPr>
              <w:t>Ridicat (cca. 700–1000 ore)</w:t>
            </w:r>
          </w:p>
        </w:tc>
      </w:tr>
    </w:tbl>
    <w:p>
      <w:pPr>
        <w:pStyle w:val="Heading2"/>
      </w:pPr>
      <w:r>
        <w:t>1.2. Implicații nutriționale ale particularităților Chandler</w:t>
      </w:r>
    </w:p>
    <w:p>
      <w:pPr>
        <w:pStyle w:val="ListBullet"/>
      </w:pPr>
      <w:r>
        <w:rPr>
          <w:b/>
        </w:rPr>
        <w:t>Fenologie târzie —</w:t>
      </w:r>
      <w:r>
        <w:t xml:space="preserve"> pornirea târzie în vegetație deplasează întreg calendarul fenologic; fereastra optimă de prelevare foliară (iulie) rămâne valabilă, dar starea de dezvoltare a lăstarilor trebuie verificată vizual înainte de recoltare.</w:t>
      </w:r>
    </w:p>
    <w:p>
      <w:pPr>
        <w:pStyle w:val="ListBullet"/>
      </w:pPr>
      <w:r>
        <w:rPr>
          <w:b/>
        </w:rPr>
        <w:t>Producție ridicată —</w:t>
      </w:r>
      <w:r>
        <w:t xml:space="preserve"> fructificarea laterală bogată înseamnă o încărcătură mare de fructe și deci o cerere susținută de potasiu și azot în perioada de umplere a miezului; soiurile cu producție mare epuizează mai rapid rezervele.</w:t>
      </w:r>
    </w:p>
    <w:p>
      <w:pPr>
        <w:pStyle w:val="ListBullet"/>
      </w:pPr>
      <w:r>
        <w:rPr>
          <w:b/>
        </w:rPr>
        <w:t>Toleranță la riscuri de sezon —</w:t>
      </w:r>
      <w:r>
        <w:t xml:space="preserve"> pornirea și înflorirea târzii reduc expunerea la înghețurile târzii, la bacterioza nucului (Xanthomonas arboricola pv. juglandis) și la viermele nucilor, ceea ce influențează indirect starea foliajului analizat.</w:t>
      </w:r>
    </w:p>
    <w:p>
      <w:pPr>
        <w:pStyle w:val="ListBullet"/>
      </w:pPr>
      <w:r>
        <w:rPr>
          <w:b/>
        </w:rPr>
        <w:t>Portaltoi și blackline —</w:t>
      </w:r>
      <w:r>
        <w:t xml:space="preserve"> Chandler se altoiește frecvent pe portaltoi Paradox; sensibilitatea la boala liniei negre (blackline), asociată portaltoiului, poate genera simptome de declin care nu au cauză nutrițională și care trebuie deosebite de carențe la interpretare.</w:t>
      </w:r>
    </w:p>
    <w:p>
      <w:pPr>
        <w:pStyle w:val="Heading1"/>
      </w:pPr>
      <w:r>
        <w:t>2. Obiectivele analizelor de țesut foliar</w:t>
      </w:r>
    </w:p>
    <w:p>
      <w:pPr>
        <w:spacing w:after="120"/>
      </w:pPr>
      <w:r>
        <w:rPr>
          <w:b w:val="0"/>
          <w:i w:val="0"/>
          <w:sz w:val="22"/>
        </w:rP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spacing w:after="120"/>
      </w:pPr>
      <w:r>
        <w:rPr>
          <w:b w:val="0"/>
          <w:i/>
          <w:color w:val="555555"/>
          <w:sz w:val="22"/>
        </w:rPr>
        <w:t>Analiza foliară se interpretează întotdeauna împreună cu simptomele vizuale din câmp și, unde este posibil, cu analiza de sol și de apă de irigație.</w:t>
      </w:r>
    </w:p>
    <w:p>
      <w:pPr>
        <w:pStyle w:val="Heading1"/>
      </w:pPr>
      <w:r>
        <w:t>3. Prelevarea corectă a probelor</w:t>
      </w:r>
    </w:p>
    <w:p>
      <w:pPr>
        <w:spacing w:after="120"/>
      </w:pPr>
      <w:r>
        <w:rPr>
          <w:b w:val="0"/>
          <w:i w:val="0"/>
          <w:sz w:val="22"/>
        </w:rP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Chandler, care pornește târziu,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jc w:val="center"/>
        <w:tblLook w:firstColumn="1" w:firstRow="1" w:lastColumn="0" w:lastRow="0" w:noHBand="0" w:noVBand="1" w:val="04A0"/>
      </w:tblPr>
      <w:tblGrid>
        <w:gridCol w:w="4320"/>
        <w:gridCol w:w="4320"/>
      </w:tblGrid>
      <w:tr>
        <w:tc>
          <w:tcPr>
            <w:tcW w:type="dxa" w:w="2551"/>
            <w:shd w:val="clear" w:color="auto" w:fill="0F5C3F"/>
          </w:tcPr>
          <w:p>
            <w:r/>
            <w:r>
              <w:rPr>
                <w:b/>
                <w:color w:val="FFFFFF"/>
                <w:sz w:val="20"/>
              </w:rPr>
              <w:t>Parametru</w:t>
            </w:r>
          </w:p>
        </w:tc>
        <w:tc>
          <w:tcPr>
            <w:tcW w:type="dxa" w:w="6520"/>
            <w:shd w:val="clear" w:color="auto" w:fill="0F5C3F"/>
          </w:tcPr>
          <w:p>
            <w:r/>
            <w:r>
              <w:rPr>
                <w:b/>
                <w:color w:val="FFFFFF"/>
                <w:sz w:val="20"/>
              </w:rPr>
              <w:t>Recomandare (protocol UC / laboratoare de referință)</w:t>
            </w:r>
          </w:p>
        </w:tc>
      </w:tr>
      <w:tr>
        <w:tc>
          <w:tcPr>
            <w:tcW w:type="dxa" w:w="2551"/>
          </w:tcPr>
          <w:p>
            <w:r/>
            <w:r>
              <w:rPr>
                <w:b/>
                <w:sz w:val="19"/>
              </w:rPr>
              <w:t>Organul recoltat</w:t>
            </w:r>
          </w:p>
        </w:tc>
        <w:tc>
          <w:tcPr>
            <w:tcW w:type="dxa" w:w="6520"/>
          </w:tcPr>
          <w:p>
            <w:r/>
            <w:r>
              <w:rPr>
                <w:sz w:val="19"/>
              </w:rPr>
              <w:t>Foliolele terminale ale frunzei compuse, de pe pinteni/lăstari nefructiferi, complet dezvoltate</w:t>
            </w:r>
          </w:p>
        </w:tc>
      </w:tr>
      <w:tr>
        <w:tc>
          <w:tcPr>
            <w:tcW w:type="dxa" w:w="2551"/>
          </w:tcPr>
          <w:p>
            <w:r/>
            <w:r>
              <w:rPr>
                <w:b/>
                <w:sz w:val="19"/>
              </w:rPr>
              <w:t>Poziția în coroană</w:t>
            </w:r>
          </w:p>
        </w:tc>
        <w:tc>
          <w:tcPr>
            <w:tcW w:type="dxa" w:w="6520"/>
          </w:tcPr>
          <w:p>
            <w:r/>
            <w:r>
              <w:rPr>
                <w:sz w:val="19"/>
              </w:rPr>
              <w:t>La 1,8–2,4 m înălțime (cca. 6–8 ft), din toate cele patru cadrane / de jur împrejurul pomului</w:t>
            </w:r>
          </w:p>
        </w:tc>
      </w:tr>
      <w:tr>
        <w:tc>
          <w:tcPr>
            <w:tcW w:type="dxa" w:w="2551"/>
          </w:tcPr>
          <w:p>
            <w:r/>
            <w:r>
              <w:rPr>
                <w:b/>
                <w:sz w:val="19"/>
              </w:rPr>
              <w:t>Nr. foliole / probă</w:t>
            </w:r>
          </w:p>
        </w:tc>
        <w:tc>
          <w:tcPr>
            <w:tcW w:type="dxa" w:w="6520"/>
          </w:tcPr>
          <w:p>
            <w:r/>
            <w:r>
              <w:rPr>
                <w:sz w:val="19"/>
              </w:rPr>
              <w:t>Minim 30, recomandat cca. 50 de foliole terminale per probă compozită</w:t>
            </w:r>
          </w:p>
        </w:tc>
      </w:tr>
      <w:tr>
        <w:tc>
          <w:tcPr>
            <w:tcW w:type="dxa" w:w="2551"/>
          </w:tcPr>
          <w:p>
            <w:r/>
            <w:r>
              <w:rPr>
                <w:b/>
                <w:sz w:val="19"/>
              </w:rPr>
              <w:t>Nr. pomi / probă</w:t>
            </w:r>
          </w:p>
        </w:tc>
        <w:tc>
          <w:tcPr>
            <w:tcW w:type="dxa" w:w="6520"/>
          </w:tcPr>
          <w:p>
            <w:r/>
            <w:r>
              <w:rPr>
                <w:sz w:val="19"/>
              </w:rPr>
              <w:t>5–10 pomi selectați aleatoriu, reprezentativi pentru bloc (pomi la min. ~12 m distanță)</w:t>
            </w:r>
          </w:p>
        </w:tc>
      </w:tr>
      <w:tr>
        <w:tc>
          <w:tcPr>
            <w:tcW w:type="dxa" w:w="2551"/>
          </w:tcPr>
          <w:p>
            <w:r/>
            <w:r>
              <w:rPr>
                <w:b/>
                <w:sz w:val="19"/>
              </w:rPr>
              <w:t>Delimitarea probei</w:t>
            </w:r>
          </w:p>
        </w:tc>
        <w:tc>
          <w:tcPr>
            <w:tcW w:type="dxa" w:w="6520"/>
          </w:tcPr>
          <w:p>
            <w:r/>
            <w:r>
              <w:rPr>
                <w:sz w:val="19"/>
              </w:rPr>
              <w:t>Câte o probă compozită separată pentru fiecare bloc uniform (sol, vârstă, soi, management)</w:t>
            </w:r>
          </w:p>
        </w:tc>
      </w:tr>
      <w:tr>
        <w:tc>
          <w:tcPr>
            <w:tcW w:type="dxa" w:w="2551"/>
          </w:tcPr>
          <w:p>
            <w:r/>
            <w:r>
              <w:rPr>
                <w:b/>
                <w:sz w:val="19"/>
              </w:rPr>
              <w:t>Pomi de evitat</w:t>
            </w:r>
          </w:p>
        </w:tc>
        <w:tc>
          <w:tcPr>
            <w:tcW w:type="dxa" w:w="6520"/>
          </w:tcPr>
          <w:p>
            <w:r/>
            <w:r>
              <w:rPr>
                <w:sz w:val="19"/>
              </w:rPr>
              <w:t>Pomii bolnavi, răniți sau pipernici­ți nu se includ în proba de diagnoză generală</w:t>
            </w:r>
          </w:p>
        </w:tc>
      </w:tr>
    </w:tbl>
    <w:p>
      <w:pPr>
        <w:spacing w:after="120"/>
      </w:pPr>
      <w:r>
        <w:rPr>
          <w:b w:val="0"/>
          <w:i/>
          <w:color w:val="555555"/>
          <w:sz w:val="22"/>
        </w:rPr>
        <w:t>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b w:val="0"/>
          <w:i/>
          <w:color w:val="555555"/>
          <w:sz w:val="22"/>
        </w:rP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Chandler,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jc w:val="center"/>
        <w:tblLook w:firstColumn="1" w:firstRow="1" w:lastColumn="0" w:lastRow="0" w:noHBand="0" w:noVBand="1" w:val="04A0"/>
      </w:tblPr>
      <w:tblGrid>
        <w:gridCol w:w="2880"/>
        <w:gridCol w:w="2880"/>
        <w:gridCol w:w="2880"/>
      </w:tblGrid>
      <w:tr>
        <w:tc>
          <w:tcPr>
            <w:tcW w:type="dxa" w:w="1984"/>
            <w:shd w:val="clear" w:color="auto" w:fill="0F5C3F"/>
          </w:tcPr>
          <w:p>
            <w:r/>
            <w:r>
              <w:rPr>
                <w:b/>
                <w:color w:val="FFFFFF"/>
                <w:sz w:val="20"/>
              </w:rPr>
              <w:t>Criteriu</w:t>
            </w:r>
          </w:p>
        </w:tc>
        <w:tc>
          <w:tcPr>
            <w:tcW w:type="dxa" w:w="3515"/>
            <w:shd w:val="clear" w:color="auto" w:fill="0F5C3F"/>
          </w:tcPr>
          <w:p>
            <w:r/>
            <w:r>
              <w:rPr>
                <w:b/>
                <w:color w:val="FFFFFF"/>
                <w:sz w:val="20"/>
              </w:rPr>
              <w:t>Se ACCEPTĂ</w:t>
            </w:r>
          </w:p>
        </w:tc>
        <w:tc>
          <w:tcPr>
            <w:tcW w:type="dxa" w:w="3572"/>
            <w:shd w:val="clear" w:color="auto" w:fill="0F5C3F"/>
          </w:tcPr>
          <w:p>
            <w:r/>
            <w:r>
              <w:rPr>
                <w:b/>
                <w:color w:val="FFFFFF"/>
                <w:sz w:val="20"/>
              </w:rPr>
              <w:t>Se RESPINGE / se prelevează din nou</w:t>
            </w:r>
          </w:p>
        </w:tc>
      </w:tr>
      <w:tr>
        <w:tc>
          <w:tcPr>
            <w:tcW w:type="dxa" w:w="1984"/>
          </w:tcPr>
          <w:p>
            <w:r/>
            <w:r>
              <w:rPr>
                <w:b/>
                <w:sz w:val="19"/>
              </w:rPr>
              <w:t>Perioada</w:t>
            </w:r>
          </w:p>
        </w:tc>
        <w:tc>
          <w:tcPr>
            <w:tcW w:type="dxa" w:w="3515"/>
          </w:tcPr>
          <w:p>
            <w:r/>
            <w:r>
              <w:rPr>
                <w:sz w:val="19"/>
              </w:rPr>
              <w:t>Iulie (sau interval documentat, cu mențiune)</w:t>
            </w:r>
          </w:p>
        </w:tc>
        <w:tc>
          <w:tcPr>
            <w:tcW w:type="dxa" w:w="3572"/>
          </w:tcPr>
          <w:p>
            <w:r/>
            <w:r>
              <w:rPr>
                <w:sz w:val="19"/>
              </w:rPr>
              <w:t>Perioadă necunoscută sau neînregistrată</w:t>
            </w:r>
          </w:p>
        </w:tc>
      </w:tr>
      <w:tr>
        <w:tc>
          <w:tcPr>
            <w:tcW w:type="dxa" w:w="1984"/>
          </w:tcPr>
          <w:p>
            <w:r/>
            <w:r>
              <w:rPr>
                <w:b/>
                <w:sz w:val="19"/>
              </w:rPr>
              <w:t>Organul</w:t>
            </w:r>
          </w:p>
        </w:tc>
        <w:tc>
          <w:tcPr>
            <w:tcW w:type="dxa" w:w="3515"/>
          </w:tcPr>
          <w:p>
            <w:r/>
            <w:r>
              <w:rPr>
                <w:sz w:val="19"/>
              </w:rPr>
              <w:t>Foliole terminale, frunze mature, nefructifere</w:t>
            </w:r>
          </w:p>
        </w:tc>
        <w:tc>
          <w:tcPr>
            <w:tcW w:type="dxa" w:w="3572"/>
          </w:tcPr>
          <w:p>
            <w:r/>
            <w:r>
              <w:rPr>
                <w:sz w:val="19"/>
              </w:rPr>
              <w:t>Frunze imature, fructifere, pețioli, lăstari</w:t>
            </w:r>
          </w:p>
        </w:tc>
      </w:tr>
      <w:tr>
        <w:tc>
          <w:tcPr>
            <w:tcW w:type="dxa" w:w="1984"/>
          </w:tcPr>
          <w:p>
            <w:r/>
            <w:r>
              <w:rPr>
                <w:b/>
                <w:sz w:val="19"/>
              </w:rPr>
              <w:t>Numărul</w:t>
            </w:r>
          </w:p>
        </w:tc>
        <w:tc>
          <w:tcPr>
            <w:tcW w:type="dxa" w:w="3515"/>
          </w:tcPr>
          <w:p>
            <w:r/>
            <w:r>
              <w:rPr>
                <w:sz w:val="19"/>
              </w:rPr>
              <w:t>≥ 30 foliole (ideal ~50), 5–10 pomi</w:t>
            </w:r>
          </w:p>
        </w:tc>
        <w:tc>
          <w:tcPr>
            <w:tcW w:type="dxa" w:w="3572"/>
          </w:tcPr>
          <w:p>
            <w:r/>
            <w:r>
              <w:rPr>
                <w:sz w:val="19"/>
              </w:rPr>
              <w:t>Probă prea mică / de la un singur pom</w:t>
            </w:r>
          </w:p>
        </w:tc>
      </w:tr>
      <w:tr>
        <w:tc>
          <w:tcPr>
            <w:tcW w:type="dxa" w:w="1984"/>
          </w:tcPr>
          <w:p>
            <w:r/>
            <w:r>
              <w:rPr>
                <w:b/>
                <w:sz w:val="19"/>
              </w:rPr>
              <w:t>Starea frunzelor</w:t>
            </w:r>
          </w:p>
        </w:tc>
        <w:tc>
          <w:tcPr>
            <w:tcW w:type="dxa" w:w="3515"/>
          </w:tcPr>
          <w:p>
            <w:r/>
            <w:r>
              <w:rPr>
                <w:sz w:val="19"/>
              </w:rPr>
              <w:t>Sănătoase, reprezentative, curate</w:t>
            </w:r>
          </w:p>
        </w:tc>
        <w:tc>
          <w:tcPr>
            <w:tcW w:type="dxa" w:w="3572"/>
          </w:tcPr>
          <w:p>
            <w:r/>
            <w:r>
              <w:rPr>
                <w:sz w:val="19"/>
              </w:rPr>
              <w:t>Bolnave/rănite (la diagnoza generală), murdare, mucegăite</w:t>
            </w:r>
          </w:p>
        </w:tc>
      </w:tr>
      <w:tr>
        <w:tc>
          <w:tcPr>
            <w:tcW w:type="dxa" w:w="1984"/>
          </w:tcPr>
          <w:p>
            <w:r/>
            <w:r>
              <w:rPr>
                <w:b/>
                <w:sz w:val="19"/>
              </w:rPr>
              <w:t>Ambalare</w:t>
            </w:r>
          </w:p>
        </w:tc>
        <w:tc>
          <w:tcPr>
            <w:tcW w:type="dxa" w:w="3515"/>
          </w:tcPr>
          <w:p>
            <w:r/>
            <w:r>
              <w:rPr>
                <w:sz w:val="19"/>
              </w:rPr>
              <w:t>Pungă de hârtie, etichetată, ținută la răcoare</w:t>
            </w:r>
          </w:p>
        </w:tc>
        <w:tc>
          <w:tcPr>
            <w:tcW w:type="dxa" w:w="3572"/>
          </w:tcPr>
          <w:p>
            <w:r/>
            <w:r>
              <w:rPr>
                <w:sz w:val="19"/>
              </w:rPr>
              <w:t>Plastic etanș, fermentate, neetichetate</w:t>
            </w:r>
          </w:p>
        </w:tc>
      </w:tr>
      <w:tr>
        <w:tc>
          <w:tcPr>
            <w:tcW w:type="dxa" w:w="1984"/>
          </w:tcPr>
          <w:p>
            <w:r/>
            <w:r>
              <w:rPr>
                <w:b/>
                <w:sz w:val="19"/>
              </w:rPr>
              <w:t>Contaminare foliară</w:t>
            </w:r>
          </w:p>
        </w:tc>
        <w:tc>
          <w:tcPr>
            <w:tcW w:type="dxa" w:w="3515"/>
          </w:tcPr>
          <w:p>
            <w:r/>
            <w:r>
              <w:rPr>
                <w:sz w:val="19"/>
              </w:rPr>
              <w:t>Fără stropiri recente cu micronutrienți</w:t>
            </w:r>
          </w:p>
        </w:tc>
        <w:tc>
          <w:tcPr>
            <w:tcW w:type="dxa" w:w="3572"/>
          </w:tcPr>
          <w:p>
            <w:r/>
            <w:r>
              <w:rPr>
                <w:sz w:val="19"/>
              </w:rPr>
              <w:t>Reziduuri de foliare (Zn/B/Cu/Mn) → false valori</w:t>
            </w:r>
          </w:p>
        </w:tc>
      </w:tr>
    </w:tbl>
    <w:p>
      <w:pPr>
        <w:spacing w:after="120"/>
      </w:pPr>
      <w:r>
        <w:rPr>
          <w:b w:val="0"/>
          <w:i/>
          <w:color w:val="555555"/>
          <w:sz w:val="22"/>
        </w:rP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spacing w:after="120"/>
      </w:pPr>
      <w:r>
        <w:rPr>
          <w:b w:val="0"/>
          <w:i w:val="0"/>
          <w:sz w:val="22"/>
        </w:rPr>
        <w:t>Valorile de mai jos sunt standardele UC ANR / UC Davis – CDFA-FREP pentru Juglans regia, valabile pentru probe de vară (iulie). Se aplică soiului Chandler ca recomandări generale pentru specie (nu există praguri validate separat pentru Chandler). Unde sursele diferă, diferența este explicată în notele de sub tabele.</w:t>
      </w:r>
    </w:p>
    <w:p>
      <w:pPr>
        <w:pStyle w:val="Heading2"/>
      </w:pPr>
      <w:r>
        <w:t>4.1. Macroelemente (% substanță uscată)</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984"/>
            <w:shd w:val="clear" w:color="auto" w:fill="0F5C3F"/>
          </w:tcPr>
          <w:p>
            <w:r/>
            <w:r>
              <w:rPr>
                <w:b/>
                <w:color w:val="FFFFFF"/>
                <w:sz w:val="20"/>
              </w:rPr>
              <w:t>Element</w:t>
            </w:r>
          </w:p>
        </w:tc>
        <w:tc>
          <w:tcPr>
            <w:tcW w:type="dxa" w:w="2268"/>
            <w:shd w:val="clear" w:color="auto" w:fill="0F5C3F"/>
          </w:tcPr>
          <w:p>
            <w:r/>
            <w:r>
              <w:rPr>
                <w:b/>
                <w:color w:val="FFFFFF"/>
                <w:sz w:val="20"/>
              </w:rPr>
              <w:t>Carență (deficient)</w:t>
            </w:r>
          </w:p>
        </w:tc>
        <w:tc>
          <w:tcPr>
            <w:tcW w:type="dxa" w:w="2551"/>
            <w:shd w:val="clear" w:color="auto" w:fill="0F5C3F"/>
          </w:tcPr>
          <w:p>
            <w:r/>
            <w:r>
              <w:rPr>
                <w:b/>
                <w:color w:val="FFFFFF"/>
                <w:sz w:val="20"/>
              </w:rPr>
              <w:t>Optim / suficient</w:t>
            </w:r>
          </w:p>
        </w:tc>
        <w:tc>
          <w:tcPr>
            <w:tcW w:type="dxa" w:w="2268"/>
            <w:shd w:val="clear" w:color="auto" w:fill="0F5C3F"/>
          </w:tcPr>
          <w:p>
            <w:r/>
            <w:r>
              <w:rPr>
                <w:b/>
                <w:color w:val="FFFFFF"/>
                <w:sz w:val="20"/>
              </w:rPr>
              <w:t>Exces</w:t>
            </w:r>
          </w:p>
        </w:tc>
      </w:tr>
      <w:tr>
        <w:tc>
          <w:tcPr>
            <w:tcW w:type="dxa" w:w="1984"/>
          </w:tcPr>
          <w:p>
            <w:r/>
            <w:r>
              <w:rPr>
                <w:b/>
                <w:sz w:val="19"/>
              </w:rPr>
              <w:t>Azot (N)</w:t>
            </w:r>
          </w:p>
        </w:tc>
        <w:tc>
          <w:tcPr>
            <w:tcW w:type="dxa" w:w="2268"/>
          </w:tcPr>
          <w:p>
            <w:r/>
            <w:r>
              <w:rPr>
                <w:sz w:val="19"/>
              </w:rPr>
              <w:t>&lt; 2,1 %</w:t>
            </w:r>
          </w:p>
        </w:tc>
        <w:tc>
          <w:tcPr>
            <w:tcW w:type="dxa" w:w="2551"/>
          </w:tcPr>
          <w:p>
            <w:r/>
            <w:r>
              <w:rPr>
                <w:sz w:val="19"/>
              </w:rPr>
              <w:t>2,2 – 3,2 %</w:t>
            </w:r>
          </w:p>
        </w:tc>
        <w:tc>
          <w:tcPr>
            <w:tcW w:type="dxa" w:w="2268"/>
          </w:tcPr>
          <w:p>
            <w:r/>
            <w:r>
              <w:rPr>
                <w:sz w:val="19"/>
              </w:rPr>
              <w:t>&gt; 3,2 %</w:t>
            </w:r>
          </w:p>
        </w:tc>
      </w:tr>
      <w:tr>
        <w:tc>
          <w:tcPr>
            <w:tcW w:type="dxa" w:w="1984"/>
          </w:tcPr>
          <w:p>
            <w:r/>
            <w:r>
              <w:rPr>
                <w:b/>
                <w:sz w:val="19"/>
              </w:rPr>
              <w:t>Fosfor (P)</w:t>
            </w:r>
          </w:p>
        </w:tc>
        <w:tc>
          <w:tcPr>
            <w:tcW w:type="dxa" w:w="2268"/>
          </w:tcPr>
          <w:p>
            <w:r/>
            <w:r>
              <w:rPr>
                <w:sz w:val="19"/>
              </w:rPr>
              <w:t>&lt; 0,10 %</w:t>
            </w:r>
          </w:p>
        </w:tc>
        <w:tc>
          <w:tcPr>
            <w:tcW w:type="dxa" w:w="2551"/>
          </w:tcPr>
          <w:p>
            <w:r/>
            <w:r>
              <w:rPr>
                <w:sz w:val="19"/>
              </w:rPr>
              <w:t>0,10 – 0,30 %</w:t>
            </w:r>
          </w:p>
        </w:tc>
        <w:tc>
          <w:tcPr>
            <w:tcW w:type="dxa" w:w="2268"/>
          </w:tcPr>
          <w:p>
            <w:r/>
            <w:r>
              <w:rPr>
                <w:sz w:val="19"/>
              </w:rPr>
              <w:t>&gt; 0,30 %</w:t>
            </w:r>
          </w:p>
        </w:tc>
      </w:tr>
      <w:tr>
        <w:tc>
          <w:tcPr>
            <w:tcW w:type="dxa" w:w="1984"/>
          </w:tcPr>
          <w:p>
            <w:r/>
            <w:r>
              <w:rPr>
                <w:b/>
                <w:sz w:val="19"/>
              </w:rPr>
              <w:t>Potasiu (K)</w:t>
            </w:r>
          </w:p>
        </w:tc>
        <w:tc>
          <w:tcPr>
            <w:tcW w:type="dxa" w:w="2268"/>
          </w:tcPr>
          <w:p>
            <w:r/>
            <w:r>
              <w:rPr>
                <w:sz w:val="19"/>
              </w:rPr>
              <w:t>&lt; 0,9 – 1,0 %</w:t>
            </w:r>
          </w:p>
        </w:tc>
        <w:tc>
          <w:tcPr>
            <w:tcW w:type="dxa" w:w="2551"/>
          </w:tcPr>
          <w:p>
            <w:r/>
            <w:r>
              <w:rPr>
                <w:sz w:val="19"/>
              </w:rPr>
              <w:t>&gt; 1,2 % (suficient)</w:t>
            </w:r>
          </w:p>
        </w:tc>
        <w:tc>
          <w:tcPr>
            <w:tcW w:type="dxa" w:w="2268"/>
          </w:tcPr>
          <w:p>
            <w:r/>
            <w:r>
              <w:rPr>
                <w:sz w:val="19"/>
              </w:rPr>
              <w:t>—</w:t>
            </w:r>
          </w:p>
        </w:tc>
      </w:tr>
      <w:tr>
        <w:tc>
          <w:tcPr>
            <w:tcW w:type="dxa" w:w="1984"/>
          </w:tcPr>
          <w:p>
            <w:r/>
            <w:r>
              <w:rPr>
                <w:b/>
                <w:sz w:val="19"/>
              </w:rPr>
              <w:t>Calciu (Ca)</w:t>
            </w:r>
          </w:p>
        </w:tc>
        <w:tc>
          <w:tcPr>
            <w:tcW w:type="dxa" w:w="2268"/>
          </w:tcPr>
          <w:p>
            <w:r/>
            <w:r>
              <w:rPr>
                <w:sz w:val="19"/>
              </w:rPr>
              <w:t>&lt; 1,0 %</w:t>
            </w:r>
          </w:p>
        </w:tc>
        <w:tc>
          <w:tcPr>
            <w:tcW w:type="dxa" w:w="2551"/>
          </w:tcPr>
          <w:p>
            <w:r/>
            <w:r>
              <w:rPr>
                <w:sz w:val="19"/>
              </w:rPr>
              <w:t>1,0 – 3,5 %</w:t>
            </w:r>
          </w:p>
        </w:tc>
        <w:tc>
          <w:tcPr>
            <w:tcW w:type="dxa" w:w="2268"/>
          </w:tcPr>
          <w:p>
            <w:r/>
            <w:r>
              <w:rPr>
                <w:sz w:val="19"/>
              </w:rPr>
              <w:t>—</w:t>
            </w:r>
          </w:p>
        </w:tc>
      </w:tr>
      <w:tr>
        <w:tc>
          <w:tcPr>
            <w:tcW w:type="dxa" w:w="1984"/>
          </w:tcPr>
          <w:p>
            <w:r/>
            <w:r>
              <w:rPr>
                <w:b/>
                <w:sz w:val="19"/>
              </w:rPr>
              <w:t>Magneziu (Mg)</w:t>
            </w:r>
          </w:p>
        </w:tc>
        <w:tc>
          <w:tcPr>
            <w:tcW w:type="dxa" w:w="2268"/>
          </w:tcPr>
          <w:p>
            <w:r/>
            <w:r>
              <w:rPr>
                <w:sz w:val="19"/>
              </w:rPr>
              <w:t>&lt; 0,3 %</w:t>
            </w:r>
          </w:p>
        </w:tc>
        <w:tc>
          <w:tcPr>
            <w:tcW w:type="dxa" w:w="2551"/>
          </w:tcPr>
          <w:p>
            <w:r/>
            <w:r>
              <w:rPr>
                <w:sz w:val="19"/>
              </w:rPr>
              <w:t>&gt; 0,3 %</w:t>
            </w:r>
          </w:p>
        </w:tc>
        <w:tc>
          <w:tcPr>
            <w:tcW w:type="dxa" w:w="2268"/>
          </w:tcPr>
          <w:p>
            <w:r/>
            <w:r>
              <w:rPr>
                <w:sz w:val="19"/>
              </w:rPr>
              <w:t>—</w:t>
            </w:r>
          </w:p>
        </w:tc>
      </w:tr>
      <w:tr>
        <w:tc>
          <w:tcPr>
            <w:tcW w:type="dxa" w:w="1984"/>
          </w:tcPr>
          <w:p>
            <w:r/>
            <w:r>
              <w:rPr>
                <w:b/>
                <w:sz w:val="19"/>
              </w:rPr>
              <w:t>Sulf (S)</w:t>
            </w:r>
          </w:p>
        </w:tc>
        <w:tc>
          <w:tcPr>
            <w:tcW w:type="dxa" w:w="2268"/>
          </w:tcPr>
          <w:p>
            <w:r/>
            <w:r>
              <w:rPr>
                <w:sz w:val="19"/>
              </w:rPr>
              <w:t>&lt; 0,1 %</w:t>
            </w:r>
          </w:p>
        </w:tc>
        <w:tc>
          <w:tcPr>
            <w:tcW w:type="dxa" w:w="2551"/>
          </w:tcPr>
          <w:p>
            <w:r/>
            <w:r>
              <w:rPr>
                <w:sz w:val="19"/>
              </w:rPr>
              <w:t>0,1 – 0,5 %</w:t>
            </w:r>
          </w:p>
        </w:tc>
        <w:tc>
          <w:tcPr>
            <w:tcW w:type="dxa" w:w="2268"/>
          </w:tcPr>
          <w:p>
            <w:r/>
            <w:r>
              <w:rPr>
                <w:sz w:val="19"/>
              </w:rPr>
              <w:t>—</w:t>
            </w:r>
          </w:p>
        </w:tc>
      </w:tr>
    </w:tbl>
    <w:p>
      <w:pPr>
        <w:spacing w:after="120"/>
      </w:pPr>
      <w:r>
        <w:rPr>
          <w:b w:val="0"/>
          <w:i w:val="0"/>
          <w:color w:val="555555"/>
          <w:sz w:val="19"/>
        </w:rP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1984"/>
            <w:shd w:val="clear" w:color="auto" w:fill="0F5C3F"/>
          </w:tcPr>
          <w:p>
            <w:r/>
            <w:r>
              <w:rPr>
                <w:b/>
                <w:color w:val="FFFFFF"/>
                <w:sz w:val="20"/>
              </w:rPr>
              <w:t>Element</w:t>
            </w:r>
          </w:p>
        </w:tc>
        <w:tc>
          <w:tcPr>
            <w:tcW w:type="dxa" w:w="2268"/>
            <w:shd w:val="clear" w:color="auto" w:fill="0F5C3F"/>
          </w:tcPr>
          <w:p>
            <w:r/>
            <w:r>
              <w:rPr>
                <w:b/>
                <w:color w:val="FFFFFF"/>
                <w:sz w:val="20"/>
              </w:rPr>
              <w:t>Carență (deficient)</w:t>
            </w:r>
          </w:p>
        </w:tc>
        <w:tc>
          <w:tcPr>
            <w:tcW w:type="dxa" w:w="2551"/>
            <w:shd w:val="clear" w:color="auto" w:fill="0F5C3F"/>
          </w:tcPr>
          <w:p>
            <w:r/>
            <w:r>
              <w:rPr>
                <w:b/>
                <w:color w:val="FFFFFF"/>
                <w:sz w:val="20"/>
              </w:rPr>
              <w:t>Optim / suficient</w:t>
            </w:r>
          </w:p>
        </w:tc>
        <w:tc>
          <w:tcPr>
            <w:tcW w:type="dxa" w:w="2268"/>
            <w:shd w:val="clear" w:color="auto" w:fill="0F5C3F"/>
          </w:tcPr>
          <w:p>
            <w:r/>
            <w:r>
              <w:rPr>
                <w:b/>
                <w:color w:val="FFFFFF"/>
                <w:sz w:val="20"/>
              </w:rPr>
              <w:t>Exces / toxic</w:t>
            </w:r>
          </w:p>
        </w:tc>
      </w:tr>
      <w:tr>
        <w:tc>
          <w:tcPr>
            <w:tcW w:type="dxa" w:w="1984"/>
          </w:tcPr>
          <w:p>
            <w:r/>
            <w:r>
              <w:rPr>
                <w:b/>
                <w:sz w:val="19"/>
              </w:rPr>
              <w:t>Bor (B)</w:t>
            </w:r>
          </w:p>
        </w:tc>
        <w:tc>
          <w:tcPr>
            <w:tcW w:type="dxa" w:w="2268"/>
          </w:tcPr>
          <w:p>
            <w:r/>
            <w:r>
              <w:rPr>
                <w:sz w:val="19"/>
              </w:rPr>
              <w:t>&lt; 20 ppm</w:t>
            </w:r>
          </w:p>
        </w:tc>
        <w:tc>
          <w:tcPr>
            <w:tcW w:type="dxa" w:w="2551"/>
          </w:tcPr>
          <w:p>
            <w:r/>
            <w:r>
              <w:rPr>
                <w:sz w:val="19"/>
              </w:rPr>
              <w:t>36 – 200 (până la ~300) ppm</w:t>
            </w:r>
          </w:p>
        </w:tc>
        <w:tc>
          <w:tcPr>
            <w:tcW w:type="dxa" w:w="2268"/>
          </w:tcPr>
          <w:p>
            <w:r/>
            <w:r>
              <w:rPr>
                <w:sz w:val="19"/>
              </w:rPr>
              <w:t>&gt; 300 ppm</w:t>
            </w:r>
          </w:p>
        </w:tc>
      </w:tr>
      <w:tr>
        <w:tc>
          <w:tcPr>
            <w:tcW w:type="dxa" w:w="1984"/>
          </w:tcPr>
          <w:p>
            <w:r/>
            <w:r>
              <w:rPr>
                <w:b/>
                <w:sz w:val="19"/>
              </w:rPr>
              <w:t>Zinc (Zn)</w:t>
            </w:r>
          </w:p>
        </w:tc>
        <w:tc>
          <w:tcPr>
            <w:tcW w:type="dxa" w:w="2268"/>
          </w:tcPr>
          <w:p>
            <w:r/>
            <w:r>
              <w:rPr>
                <w:sz w:val="19"/>
              </w:rPr>
              <w:t>&lt; 18 – 20 ppm</w:t>
            </w:r>
          </w:p>
        </w:tc>
        <w:tc>
          <w:tcPr>
            <w:tcW w:type="dxa" w:w="2551"/>
          </w:tcPr>
          <w:p>
            <w:r/>
            <w:r>
              <w:rPr>
                <w:sz w:val="19"/>
              </w:rPr>
              <w:t>≥ 20 ppm (suficient)</w:t>
            </w:r>
          </w:p>
        </w:tc>
        <w:tc>
          <w:tcPr>
            <w:tcW w:type="dxa" w:w="2268"/>
          </w:tcPr>
          <w:p>
            <w:r/>
            <w:r>
              <w:rPr>
                <w:sz w:val="19"/>
              </w:rPr>
              <w:t>—</w:t>
            </w:r>
          </w:p>
        </w:tc>
      </w:tr>
      <w:tr>
        <w:tc>
          <w:tcPr>
            <w:tcW w:type="dxa" w:w="1984"/>
          </w:tcPr>
          <w:p>
            <w:r/>
            <w:r>
              <w:rPr>
                <w:b/>
                <w:sz w:val="19"/>
              </w:rPr>
              <w:t>Mangan (Mn)</w:t>
            </w:r>
          </w:p>
        </w:tc>
        <w:tc>
          <w:tcPr>
            <w:tcW w:type="dxa" w:w="2268"/>
          </w:tcPr>
          <w:p>
            <w:r/>
            <w:r>
              <w:rPr>
                <w:sz w:val="19"/>
              </w:rPr>
              <w:t>&lt; 20 ppm</w:t>
            </w:r>
          </w:p>
        </w:tc>
        <w:tc>
          <w:tcPr>
            <w:tcW w:type="dxa" w:w="2551"/>
          </w:tcPr>
          <w:p>
            <w:r/>
            <w:r>
              <w:rPr>
                <w:sz w:val="19"/>
              </w:rPr>
              <w:t>20 – 300 ppm</w:t>
            </w:r>
          </w:p>
        </w:tc>
        <w:tc>
          <w:tcPr>
            <w:tcW w:type="dxa" w:w="2268"/>
          </w:tcPr>
          <w:p>
            <w:r/>
            <w:r>
              <w:rPr>
                <w:sz w:val="19"/>
              </w:rPr>
              <w:t>foarte ridicat (&gt;1000 ppm)</w:t>
            </w:r>
          </w:p>
        </w:tc>
      </w:tr>
      <w:tr>
        <w:tc>
          <w:tcPr>
            <w:tcW w:type="dxa" w:w="1984"/>
          </w:tcPr>
          <w:p>
            <w:r/>
            <w:r>
              <w:rPr>
                <w:b/>
                <w:sz w:val="19"/>
              </w:rPr>
              <w:t>Cupru (Cu)</w:t>
            </w:r>
          </w:p>
        </w:tc>
        <w:tc>
          <w:tcPr>
            <w:tcW w:type="dxa" w:w="2268"/>
          </w:tcPr>
          <w:p>
            <w:r/>
            <w:r>
              <w:rPr>
                <w:sz w:val="19"/>
              </w:rPr>
              <w:t>&lt; 4 ppm</w:t>
            </w:r>
          </w:p>
        </w:tc>
        <w:tc>
          <w:tcPr>
            <w:tcW w:type="dxa" w:w="2551"/>
          </w:tcPr>
          <w:p>
            <w:r/>
            <w:r>
              <w:rPr>
                <w:sz w:val="19"/>
              </w:rPr>
              <w:t>4 – 20 ppm</w:t>
            </w:r>
          </w:p>
        </w:tc>
        <w:tc>
          <w:tcPr>
            <w:tcW w:type="dxa" w:w="2268"/>
          </w:tcPr>
          <w:p>
            <w:r/>
            <w:r>
              <w:rPr>
                <w:sz w:val="19"/>
              </w:rPr>
              <w:t>—</w:t>
            </w:r>
          </w:p>
        </w:tc>
      </w:tr>
      <w:tr>
        <w:tc>
          <w:tcPr>
            <w:tcW w:type="dxa" w:w="1984"/>
          </w:tcPr>
          <w:p>
            <w:r/>
            <w:r>
              <w:rPr>
                <w:b/>
                <w:sz w:val="19"/>
              </w:rPr>
              <w:t>Fier (Fe)</w:t>
            </w:r>
          </w:p>
        </w:tc>
        <w:tc>
          <w:tcPr>
            <w:tcW w:type="dxa" w:w="2268"/>
          </w:tcPr>
          <w:p>
            <w:r/>
            <w:r>
              <w:rPr>
                <w:sz w:val="19"/>
              </w:rPr>
              <w:t>&lt; 50 ppm</w:t>
            </w:r>
          </w:p>
        </w:tc>
        <w:tc>
          <w:tcPr>
            <w:tcW w:type="dxa" w:w="2551"/>
          </w:tcPr>
          <w:p>
            <w:r/>
            <w:r>
              <w:rPr>
                <w:sz w:val="19"/>
              </w:rPr>
              <w:t>&gt; 50 ppm (suficient)</w:t>
            </w:r>
          </w:p>
        </w:tc>
        <w:tc>
          <w:tcPr>
            <w:tcW w:type="dxa" w:w="2268"/>
          </w:tcPr>
          <w:p>
            <w:r/>
            <w:r>
              <w:rPr>
                <w:sz w:val="19"/>
              </w:rPr>
              <w:t>—</w:t>
            </w:r>
          </w:p>
        </w:tc>
      </w:tr>
    </w:tbl>
    <w:p>
      <w:pPr>
        <w:spacing w:after="120"/>
      </w:pPr>
      <w:r>
        <w:rPr>
          <w:b w:val="0"/>
          <w:i w:val="0"/>
          <w:color w:val="555555"/>
          <w:sz w:val="19"/>
        </w:rP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jc w:val="center"/>
        <w:tblLook w:firstColumn="1" w:firstRow="1" w:lastColumn="0" w:lastRow="0" w:noHBand="0" w:noVBand="1" w:val="04A0"/>
      </w:tblPr>
      <w:tblGrid>
        <w:gridCol w:w="2880"/>
        <w:gridCol w:w="2880"/>
        <w:gridCol w:w="2880"/>
      </w:tblGrid>
      <w:tr>
        <w:tc>
          <w:tcPr>
            <w:tcW w:type="dxa" w:w="2268"/>
            <w:shd w:val="clear" w:color="auto" w:fill="0F5C3F"/>
          </w:tcPr>
          <w:p>
            <w:r/>
            <w:r>
              <w:rPr>
                <w:b/>
                <w:color w:val="FFFFFF"/>
                <w:sz w:val="20"/>
              </w:rPr>
              <w:t>Element</w:t>
            </w:r>
          </w:p>
        </w:tc>
        <w:tc>
          <w:tcPr>
            <w:tcW w:type="dxa" w:w="3402"/>
            <w:shd w:val="clear" w:color="auto" w:fill="0F5C3F"/>
          </w:tcPr>
          <w:p>
            <w:r/>
            <w:r>
              <w:rPr>
                <w:b/>
                <w:color w:val="FFFFFF"/>
                <w:sz w:val="20"/>
              </w:rPr>
              <w:t>Nivel de atenție</w:t>
            </w:r>
          </w:p>
        </w:tc>
        <w:tc>
          <w:tcPr>
            <w:tcW w:type="dxa" w:w="3402"/>
            <w:shd w:val="clear" w:color="auto" w:fill="0F5C3F"/>
          </w:tcPr>
          <w:p>
            <w:r/>
            <w:r>
              <w:rPr>
                <w:b/>
                <w:color w:val="FFFFFF"/>
                <w:sz w:val="20"/>
              </w:rPr>
              <w:t>Toxic</w:t>
            </w:r>
          </w:p>
        </w:tc>
      </w:tr>
      <w:tr>
        <w:tc>
          <w:tcPr>
            <w:tcW w:type="dxa" w:w="2268"/>
          </w:tcPr>
          <w:p>
            <w:r/>
            <w:r>
              <w:rPr>
                <w:b/>
                <w:sz w:val="19"/>
              </w:rPr>
              <w:t>Sodiu (Na)</w:t>
            </w:r>
          </w:p>
        </w:tc>
        <w:tc>
          <w:tcPr>
            <w:tcW w:type="dxa" w:w="3402"/>
          </w:tcPr>
          <w:p>
            <w:r/>
            <w:r>
              <w:rPr>
                <w:sz w:val="19"/>
              </w:rPr>
              <w:t>0,1 – 0,25 %</w:t>
            </w:r>
          </w:p>
        </w:tc>
        <w:tc>
          <w:tcPr>
            <w:tcW w:type="dxa" w:w="3402"/>
          </w:tcPr>
          <w:p>
            <w:r/>
            <w:r>
              <w:rPr>
                <w:sz w:val="19"/>
              </w:rPr>
              <w:t>&gt; 0,1 – 0,25 % (fitotoxic)</w:t>
            </w:r>
          </w:p>
        </w:tc>
      </w:tr>
      <w:tr>
        <w:tc>
          <w:tcPr>
            <w:tcW w:type="dxa" w:w="2268"/>
          </w:tcPr>
          <w:p>
            <w:r/>
            <w:r>
              <w:rPr>
                <w:b/>
                <w:sz w:val="19"/>
              </w:rPr>
              <w:t>Clor (Cl)</w:t>
            </w:r>
          </w:p>
        </w:tc>
        <w:tc>
          <w:tcPr>
            <w:tcW w:type="dxa" w:w="3402"/>
          </w:tcPr>
          <w:p>
            <w:r/>
            <w:r>
              <w:rPr>
                <w:sz w:val="19"/>
              </w:rPr>
              <w:t>0,3 – 0,5 %</w:t>
            </w:r>
          </w:p>
        </w:tc>
        <w:tc>
          <w:tcPr>
            <w:tcW w:type="dxa" w:w="3402"/>
          </w:tcPr>
          <w:p>
            <w:r/>
            <w:r>
              <w:rPr>
                <w:sz w:val="19"/>
              </w:rPr>
              <w:t>&gt; 0,5 %</w:t>
            </w:r>
          </w:p>
        </w:tc>
      </w:tr>
    </w:tbl>
    <w:p>
      <w:pPr>
        <w:spacing w:after="120"/>
      </w:pPr>
      <w:r>
        <w:rPr>
          <w:b w:val="0"/>
          <w:i w:val="0"/>
          <w:color w:val="555555"/>
          <w:sz w:val="19"/>
        </w:rP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spacing w:after="120"/>
      </w:pPr>
      <w:r>
        <w:rPr>
          <w:b w:val="0"/>
          <w:i w:val="0"/>
          <w:sz w:val="22"/>
        </w:rP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Chandler, cu producție mare pe fructificare laterală, echilibrul N este critic pentru susținerea umplerii miezului fără vigoare excesivă.</w:t>
      </w:r>
    </w:p>
    <w:p>
      <w:pPr>
        <w:pStyle w:val="Heading2"/>
      </w:pPr>
      <w:r>
        <w:t>5.2. Fosfor (P)</w:t>
      </w:r>
    </w:p>
    <w:p>
      <w:pPr>
        <w:spacing w:after="120"/>
      </w:pPr>
      <w:r>
        <w:rPr>
          <w:b w:val="0"/>
          <w:i w:val="0"/>
          <w:sz w:val="22"/>
        </w:rP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spacing w:after="120"/>
      </w:pPr>
      <w:r>
        <w:rPr>
          <w:b w:val="0"/>
          <w:i w:val="0"/>
          <w:sz w:val="22"/>
        </w:rPr>
        <w:t>Element cheie pentru soiuri productive precum Chandler, datorită cererii mari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rPr>
          <w:b/>
        </w:rPr>
        <w:t>Ca —</w:t>
      </w:r>
      <w:r>
        <w:t xml:space="preserve"> interval optim 1,0–3,5 %; rar deficitar în sol calcaros; important pentru integritatea structurală a țesuturilor.</w:t>
      </w:r>
    </w:p>
    <w:p>
      <w:pPr>
        <w:pStyle w:val="ListBullet"/>
      </w:pPr>
      <w:r>
        <w:rPr>
          <w:b/>
        </w:rPr>
        <w:t>Mg —</w:t>
      </w:r>
      <w:r>
        <w:t xml:space="preserve"> suficiență &gt; 0,3 %; carența (&lt; 0,3 %) apare pe soluri sărace sau cu antagonism K/Mg; cloroze internervuriene pe frunzele bazale.</w:t>
      </w:r>
    </w:p>
    <w:p>
      <w:pPr>
        <w:pStyle w:val="ListBullet"/>
      </w:pPr>
      <w:r>
        <w:rPr>
          <w:b/>
        </w:rPr>
        <w:t>S —</w:t>
      </w:r>
      <w:r>
        <w:t xml:space="preserve"> interval optim 0,1–0,5 %; deficiența (&lt; 0,1 %) este rară.</w:t>
      </w:r>
    </w:p>
    <w:p>
      <w:pPr>
        <w:pStyle w:val="Heading2"/>
      </w:pPr>
      <w:r>
        <w:t>5.5. Bor (B)</w:t>
      </w:r>
    </w:p>
    <w:p>
      <w:pPr>
        <w:spacing w:after="120"/>
      </w:pPr>
      <w:r>
        <w:rPr>
          <w:b w:val="0"/>
          <w:i w:val="0"/>
          <w:sz w:val="22"/>
        </w:rP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spacing w:after="120"/>
      </w:pPr>
      <w:r>
        <w:rPr>
          <w:b w:val="0"/>
          <w:i w:val="0"/>
          <w:sz w:val="22"/>
        </w:rP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rPr>
          <w:b/>
        </w:rPr>
        <w:t>Mn —</w:t>
      </w:r>
      <w:r>
        <w:t xml:space="preserve"> suficiență 20–300 ppm; deficiența (&lt; 20 ppm) apare pe soluri alcaline (pH &gt; 7,5).</w:t>
      </w:r>
    </w:p>
    <w:p>
      <w:pPr>
        <w:pStyle w:val="ListBullet"/>
      </w:pPr>
      <w:r>
        <w:rPr>
          <w:b/>
        </w:rPr>
        <w:t>Cu —</w:t>
      </w:r>
      <w:r>
        <w:t xml:space="preserve"> interval 4–20 ppm; deficiența (&lt; 4 ppm) este rară; poate fi mascată de tratamentele cu cupru împotriva bacteriozei.</w:t>
      </w:r>
    </w:p>
    <w:p>
      <w:pPr>
        <w:pStyle w:val="ListBullet"/>
      </w:pPr>
      <w:r>
        <w:rPr>
          <w:b/>
        </w:rPr>
        <w:t>Fe —</w:t>
      </w:r>
      <w:r>
        <w:t xml:space="preserve"> suficiență &gt; 50 ppm; cloroza ferică apare pe soluri calcaroase; analiza foliară de Fe trebuie interpretată cu prudență (Fe total nu reflectă întotdeauna Fe activ).</w:t>
      </w:r>
    </w:p>
    <w:p>
      <w:pPr>
        <w:spacing w:after="120"/>
      </w:pPr>
      <w:r>
        <w:rPr>
          <w:b w:val="0"/>
          <w:i/>
          <w:color w:val="555555"/>
          <w:sz w:val="22"/>
        </w:rPr>
        <w:t>Solurile cu pH &gt; 7,5 reduc disponibilitatea Zn, Cu, Mn și Fe – factor important de context la interpretare.</w:t>
      </w:r>
    </w:p>
    <w:p>
      <w:pPr>
        <w:pStyle w:val="Heading2"/>
      </w:pPr>
      <w:r>
        <w:t>5.8. Sodiu (Na) și Clor (Cl) – salinitate</w:t>
      </w:r>
    </w:p>
    <w:p>
      <w:pPr>
        <w:spacing w:after="120"/>
      </w:pPr>
      <w:r>
        <w:rPr>
          <w:b w:val="0"/>
          <w:i w:val="0"/>
          <w:sz w:val="22"/>
        </w:rP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Chandler</w:t>
      </w:r>
    </w:p>
    <w:p>
      <w:pPr>
        <w:spacing w:after="120"/>
      </w:pPr>
      <w:r>
        <w:rPr>
          <w:b w:val="0"/>
          <w:i w:val="0"/>
          <w:sz w:val="22"/>
        </w:rPr>
        <w:t>În literatura științifică verificabilă NU există praguri de interpretare a țesutului foliar demonstrate ca fiind diferite pentru Chandler față de Juglans regia. Prin urmare, în acest ghid nu se introduc praguri „specifice Chandler”; se folosesc standardele generale pentru specie. Diferențele reale, demonstrate, sunt de ordin agronomic și de management, nu de praguri de interpretare:</w:t>
      </w:r>
    </w:p>
    <w:p>
      <w:pPr>
        <w:pStyle w:val="ListBullet"/>
      </w:pPr>
      <w:r>
        <w:rPr>
          <w:b/>
        </w:rPr>
        <w:t>Cerere nutrițională ridicată —</w:t>
      </w:r>
      <w:r>
        <w:t xml:space="preserve"> datorită fructificării laterale bogate (85–90%) și producției mari, Chandler are o cerere susținută de K și N în faza de umplere a miezului; interpretarea unui K „la limita inferioară” a intervalului optim trebuie tratată mai atent la un soi atât de productiv.</w:t>
      </w:r>
    </w:p>
    <w:p>
      <w:pPr>
        <w:pStyle w:val="ListBullet"/>
      </w:pPr>
      <w:r>
        <w:rPr>
          <w:b/>
        </w:rPr>
        <w:t>Calendar fenologic decalat —</w:t>
      </w:r>
      <w:r>
        <w:t xml:space="preserve"> pornirea și înflorirea târzii deplasează calendarul; se confirmă vizual maturitatea frunzelor înainte de prelevarea din iulie.</w:t>
      </w:r>
    </w:p>
    <w:p>
      <w:pPr>
        <w:pStyle w:val="ListBullet"/>
      </w:pPr>
      <w:r>
        <w:rPr>
          <w:b/>
        </w:rPr>
        <w:t>Blackline (portaltoi) —</w:t>
      </w:r>
      <w:r>
        <w:t xml:space="preserve"> pe portaltoi sensibili, boala liniei negre (blackline) produce declin, îngălbenire și defoliere care pot mima carențe nutriționale; aceste simptome NU se interpretează ca deficiență de nutrienți.</w:t>
      </w:r>
    </w:p>
    <w:p>
      <w:pPr>
        <w:pStyle w:val="ListBullet"/>
      </w:pPr>
      <w:r>
        <w:rPr>
          <w:b/>
        </w:rPr>
        <w:t>Riscuri de sezon —</w:t>
      </w:r>
      <w:r>
        <w:t xml:space="preserve"> toleranța relativă la bacterioză/înghețuri (datorită pornirii târzii) influențează starea generală a foliajului, dar nu modifică pragurile de interpretare.</w:t>
      </w:r>
    </w:p>
    <w:p>
      <w:pPr>
        <w:spacing w:after="120"/>
      </w:pPr>
      <w:r>
        <w:rPr>
          <w:b/>
          <w:i w:val="0"/>
          <w:color w:val="0F5C3F"/>
          <w:sz w:val="22"/>
        </w:rPr>
        <w:t>Regulă internă EDTA Plant: orice prag prezentat ca „specific Chandler”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jc w:val="center"/>
        <w:tblLook w:firstColumn="1" w:firstRow="1" w:lastColumn="0" w:lastRow="0" w:noHBand="0" w:noVBand="1" w:val="04A0"/>
      </w:tblPr>
      <w:tblGrid>
        <w:gridCol w:w="4320"/>
        <w:gridCol w:w="4320"/>
      </w:tblGrid>
      <w:tr>
        <w:tc>
          <w:tcPr>
            <w:tcW w:type="dxa" w:w="2551"/>
            <w:shd w:val="clear" w:color="auto" w:fill="0F5C3F"/>
          </w:tcPr>
          <w:p>
            <w:r/>
            <w:r>
              <w:rPr>
                <w:b/>
                <w:color w:val="FFFFFF"/>
                <w:sz w:val="20"/>
              </w:rPr>
              <w:t>Rezultat foliar</w:t>
            </w:r>
          </w:p>
        </w:tc>
        <w:tc>
          <w:tcPr>
            <w:tcW w:type="dxa" w:w="6520"/>
            <w:shd w:val="clear" w:color="auto" w:fill="0F5C3F"/>
          </w:tcPr>
          <w:p>
            <w:r/>
            <w:r>
              <w:rPr>
                <w:b/>
                <w:color w:val="FFFFFF"/>
                <w:sz w:val="20"/>
              </w:rPr>
              <w:t>Corelație probabilă în câmp / producție / calitate</w:t>
            </w:r>
          </w:p>
        </w:tc>
      </w:tr>
      <w:tr>
        <w:tc>
          <w:tcPr>
            <w:tcW w:type="dxa" w:w="2551"/>
          </w:tcPr>
          <w:p>
            <w:r/>
            <w:r>
              <w:rPr>
                <w:b/>
                <w:sz w:val="19"/>
              </w:rPr>
              <w:t>N scăzut (&lt; 2,1–2,3 %)</w:t>
            </w:r>
          </w:p>
        </w:tc>
        <w:tc>
          <w:tcPr>
            <w:tcW w:type="dxa" w:w="6520"/>
          </w:tcPr>
          <w:p>
            <w:r/>
            <w:r>
              <w:rPr>
                <w:sz w:val="19"/>
              </w:rPr>
              <w:t>Frunze mici/palide, lăstari scurți, defoliere timpurie; risc de scădere a producției</w:t>
            </w:r>
          </w:p>
        </w:tc>
      </w:tr>
      <w:tr>
        <w:tc>
          <w:tcPr>
            <w:tcW w:type="dxa" w:w="2551"/>
          </w:tcPr>
          <w:p>
            <w:r/>
            <w:r>
              <w:rPr>
                <w:b/>
                <w:sz w:val="19"/>
              </w:rPr>
              <w:t>N excesiv (&gt; 3,2 %)</w:t>
            </w:r>
          </w:p>
        </w:tc>
        <w:tc>
          <w:tcPr>
            <w:tcW w:type="dxa" w:w="6520"/>
          </w:tcPr>
          <w:p>
            <w:r/>
            <w:r>
              <w:rPr>
                <w:sz w:val="19"/>
              </w:rPr>
              <w:t>Vigoare vegetativă mare, foliaj des; reevaluarea fertilizării, risc de mediu</w:t>
            </w:r>
          </w:p>
        </w:tc>
      </w:tr>
      <w:tr>
        <w:tc>
          <w:tcPr>
            <w:tcW w:type="dxa" w:w="2551"/>
          </w:tcPr>
          <w:p>
            <w:r/>
            <w:r>
              <w:rPr>
                <w:b/>
                <w:sz w:val="19"/>
              </w:rPr>
              <w:t>K scăzut (&lt; 1,2 %)</w:t>
            </w:r>
          </w:p>
        </w:tc>
        <w:tc>
          <w:tcPr>
            <w:tcW w:type="dxa" w:w="6520"/>
          </w:tcPr>
          <w:p>
            <w:r/>
            <w:r>
              <w:rPr>
                <w:sz w:val="19"/>
              </w:rPr>
              <w:t>Răsucirea marginilor foliolelor, frunze/fructe mai mici, producție redusă</w:t>
            </w:r>
          </w:p>
        </w:tc>
      </w:tr>
      <w:tr>
        <w:tc>
          <w:tcPr>
            <w:tcW w:type="dxa" w:w="2551"/>
          </w:tcPr>
          <w:p>
            <w:r/>
            <w:r>
              <w:rPr>
                <w:b/>
                <w:sz w:val="19"/>
              </w:rPr>
              <w:t>B toxic (&gt; 300 ppm)</w:t>
            </w:r>
          </w:p>
        </w:tc>
        <w:tc>
          <w:tcPr>
            <w:tcW w:type="dxa" w:w="6520"/>
          </w:tcPr>
          <w:p>
            <w:r/>
            <w:r>
              <w:rPr>
                <w:sz w:val="19"/>
              </w:rPr>
              <w:t>Arsuri/necroze la vârful și marginea frunzelor mature; afectarea calității</w:t>
            </w:r>
          </w:p>
        </w:tc>
      </w:tr>
      <w:tr>
        <w:tc>
          <w:tcPr>
            <w:tcW w:type="dxa" w:w="2551"/>
          </w:tcPr>
          <w:p>
            <w:r/>
            <w:r>
              <w:rPr>
                <w:b/>
                <w:sz w:val="19"/>
              </w:rPr>
              <w:t>B deficitar (&lt; 20 ppm)</w:t>
            </w:r>
          </w:p>
        </w:tc>
        <w:tc>
          <w:tcPr>
            <w:tcW w:type="dxa" w:w="6520"/>
          </w:tcPr>
          <w:p>
            <w:r/>
            <w:r>
              <w:rPr>
                <w:sz w:val="19"/>
              </w:rPr>
              <w:t>Legare slabă, calitate scăzută a fructelor</w:t>
            </w:r>
          </w:p>
        </w:tc>
      </w:tr>
      <w:tr>
        <w:tc>
          <w:tcPr>
            <w:tcW w:type="dxa" w:w="2551"/>
          </w:tcPr>
          <w:p>
            <w:r/>
            <w:r>
              <w:rPr>
                <w:b/>
                <w:sz w:val="19"/>
              </w:rPr>
              <w:t>Zn deficitar (&lt; 18–20 ppm)</w:t>
            </w:r>
          </w:p>
        </w:tc>
        <w:tc>
          <w:tcPr>
            <w:tcW w:type="dxa" w:w="6520"/>
          </w:tcPr>
          <w:p>
            <w:r/>
            <w:r>
              <w:rPr>
                <w:sz w:val="19"/>
              </w:rPr>
              <w:t>„Little leaf”/rozetare, cloroză la vârful lăstarilor, pornire întârziată</w:t>
            </w:r>
          </w:p>
        </w:tc>
      </w:tr>
      <w:tr>
        <w:tc>
          <w:tcPr>
            <w:tcW w:type="dxa" w:w="2551"/>
          </w:tcPr>
          <w:p>
            <w:r/>
            <w:r>
              <w:rPr>
                <w:b/>
                <w:sz w:val="19"/>
              </w:rPr>
              <w:t>Na/Cl ridicat</w:t>
            </w:r>
          </w:p>
        </w:tc>
        <w:tc>
          <w:tcPr>
            <w:tcW w:type="dxa" w:w="6520"/>
          </w:tcPr>
          <w:p>
            <w:r/>
            <w:r>
              <w:rPr>
                <w:sz w:val="19"/>
              </w:rPr>
              <w:t>Arsuri marginale de salinitate; verificarea apei de irigație și a solului</w:t>
            </w:r>
          </w:p>
        </w:tc>
      </w:tr>
    </w:tbl>
    <w:p>
      <w:pPr>
        <w:spacing w:after="120"/>
      </w:pPr>
      <w:r>
        <w:rPr>
          <w:b w:val="0"/>
          <w:i/>
          <w:color w:val="555555"/>
          <w:sz w:val="22"/>
        </w:rP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Chandler), nu validate separat pentru Chandler.</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r>
        <w:br w:type="page"/>
      </w:r>
    </w:p>
    <w:p>
      <w:pPr>
        <w:pStyle w:val="Heading1"/>
      </w:pPr>
      <w:r>
        <w:t>Bibliografie</w:t>
      </w:r>
    </w:p>
    <w:p>
      <w:pPr>
        <w:spacing w:after="120"/>
      </w:pPr>
      <w:r>
        <w:rPr>
          <w:b/>
        </w:rPr>
        <w:t xml:space="preserve">[1] </w:t>
      </w:r>
      <w:r>
        <w:t xml:space="preserve">Geisseler, D. (2015). California Crop Fertilization Guidelines – Walnut. CDFA-FREP &amp; UC Davis. Disponibil la: </w:t>
      </w:r>
      <w:hyperlink r:id="rId9">
        <w:r>
          <w:rPr>
            <w:color w:val="1155CC"/>
            <w:u w:val="single"/>
            <w:sz w:val="20"/>
          </w:rPr>
          <w:t>https://www.cdfa.ca.gov/is/ffldrs/frep/FertilizationGuidelines/Walnut.html</w:t>
        </w:r>
      </w:hyperlink>
    </w:p>
    <w:p>
      <w:pPr>
        <w:spacing w:after="120"/>
      </w:pPr>
      <w:r>
        <w:rPr>
          <w:b/>
        </w:rPr>
        <w:t xml:space="preserve">[2] </w:t>
      </w:r>
      <w:r>
        <w:t xml:space="preserve">Geisseler, D. Nutrient Management – Walnut (versiune UC Davis). University of California, Davis. Disponibil la: </w:t>
      </w:r>
      <w:hyperlink r:id="rId10">
        <w:r>
          <w:rPr>
            <w:color w:val="1155CC"/>
            <w:u w:val="single"/>
            <w:sz w:val="20"/>
          </w:rPr>
          <w:t>http://geisseler.ucdavis.edu/Guidelines/Walnut.html</w:t>
        </w:r>
      </w:hyperlink>
    </w:p>
    <w:p>
      <w:pPr>
        <w:spacing w:after="120"/>
      </w:pPr>
      <w:r>
        <w:rPr>
          <w:b/>
        </w:rPr>
        <w:t xml:space="preserve">[3] </w:t>
      </w:r>
      <w:r>
        <w:t xml:space="preserve">Beede, R. (Bob). Walnut Nutrition – How to Develop a Balanced Program. UC Cooperative Extension (extras din Walnut Production Manual, UC ANR Pub. 3373/3573). Disponibil la: </w:t>
      </w:r>
      <w:hyperlink r:id="rId11">
        <w:r>
          <w:rPr>
            <w:color w:val="1155CC"/>
            <w:u w:val="single"/>
            <w:sz w:val="20"/>
          </w:rPr>
          <w:t>https://ucanr.edu/sites/default/files/2013-02/161801.pdf</w:t>
        </w:r>
      </w:hyperlink>
    </w:p>
    <w:p>
      <w:pPr>
        <w:spacing w:after="120"/>
      </w:pPr>
      <w:r>
        <w:rPr>
          <w:b/>
        </w:rPr>
        <w:t xml:space="preserve">[4] </w:t>
      </w:r>
      <w:r>
        <w:t xml:space="preserve">Brown, P.H., Uriu, K. (1998). Nutritional deficiencies and toxicities in walnut: Diagnosis and correcting imbalances. În: Ramos, D.E. (ed.), Walnut Production Manual, UC ANR Publication 3373, pp. 187–196. Disponibil la: </w:t>
      </w:r>
      <w:hyperlink r:id="rId12">
        <w:r>
          <w:rPr>
            <w:color w:val="1155CC"/>
            <w:u w:val="single"/>
            <w:sz w:val="20"/>
          </w:rPr>
          <w:t>https://anrcatalog.ucanr.edu/Details.aspx?itemNo=3373</w:t>
        </w:r>
      </w:hyperlink>
    </w:p>
    <w:p>
      <w:pPr>
        <w:spacing w:after="120"/>
      </w:pPr>
      <w:r>
        <w:rPr>
          <w:b/>
        </w:rPr>
        <w:t xml:space="preserve">[5] </w:t>
      </w:r>
      <w:r>
        <w:t xml:space="preserve">Lazicki, P., Geisseler, D. (2016). Plant Tissue Sampling in Orchards and Vineyards. UC Davis / CDFA. Disponibil la: </w:t>
      </w:r>
      <w:hyperlink r:id="rId13">
        <w:r>
          <w:rPr>
            <w:color w:val="1155CC"/>
            <w:u w:val="single"/>
            <w:sz w:val="20"/>
          </w:rPr>
          <w:t>https://apps1.cdfa.ca.gov/FertilizerResearch/docs/Orchard_Tissue_Sampling.pdf</w:t>
        </w:r>
      </w:hyperlink>
    </w:p>
    <w:p>
      <w:pPr>
        <w:spacing w:after="120"/>
      </w:pPr>
      <w:r>
        <w:rPr>
          <w:b/>
        </w:rPr>
        <w:t xml:space="preserve">[6] </w:t>
      </w:r>
      <w:r>
        <w:t xml:space="preserve">Della Valle Laboratory. Walnut Leaf Sampling Guide. Disponibil la: </w:t>
      </w:r>
      <w:hyperlink r:id="rId14">
        <w:r>
          <w:rPr>
            <w:color w:val="1155CC"/>
            <w:u w:val="single"/>
            <w:sz w:val="20"/>
          </w:rPr>
          <w:t>https://dellavallelab.com/wp-content/uploads/2022/11/Walnut-Sampling-Guide-Final.pdf</w:t>
        </w:r>
      </w:hyperlink>
    </w:p>
    <w:p>
      <w:pPr>
        <w:spacing w:after="120"/>
      </w:pPr>
      <w:r>
        <w:rPr>
          <w:b/>
        </w:rPr>
        <w:t xml:space="preserve">[7] </w:t>
      </w:r>
      <w:r>
        <w:t xml:space="preserve">FGL Environmental. Walnut – Procedures for Soil and Plant Tissue Sampling. Disponibil la: </w:t>
      </w:r>
      <w:hyperlink r:id="rId15">
        <w:r>
          <w:rPr>
            <w:color w:val="1155CC"/>
            <w:u w:val="single"/>
            <w:sz w:val="20"/>
          </w:rPr>
          <w:t>https://fglinc.com/wordpress/wp-content/uploads/2020/08/Walnut_Leaf_and_Soil.pdf</w:t>
        </w:r>
      </w:hyperlink>
    </w:p>
    <w:p>
      <w:pPr>
        <w:spacing w:after="120"/>
      </w:pPr>
      <w:r>
        <w:rPr>
          <w:b/>
        </w:rPr>
        <w:t xml:space="preserve">[8] </w:t>
      </w:r>
      <w:r>
        <w:t xml:space="preserve">UC Statewide IPM Program (UC IPM). Zinc Deficiency – Home and Landscape. Disponibil la: </w:t>
      </w:r>
      <w:hyperlink r:id="rId16">
        <w:r>
          <w:rPr>
            <w:color w:val="1155CC"/>
            <w:u w:val="single"/>
            <w:sz w:val="20"/>
          </w:rPr>
          <w:t>http://ipm.ucanr.edu/PMG/GARDEN/PLANTS/DISORDERS/zincdeficiency.html</w:t>
        </w:r>
      </w:hyperlink>
    </w:p>
    <w:p>
      <w:pPr>
        <w:spacing w:after="120"/>
      </w:pPr>
      <w:r>
        <w:rPr>
          <w:b/>
        </w:rPr>
        <w:t xml:space="preserve">[9] </w:t>
      </w:r>
      <w:r>
        <w:t xml:space="preserve">UC Statewide IPM Program (UC IPM). Blackline – Walnut, Pest Management Guidelines. Disponibil la: </w:t>
      </w:r>
      <w:hyperlink r:id="rId17">
        <w:r>
          <w:rPr>
            <w:color w:val="1155CC"/>
            <w:u w:val="single"/>
            <w:sz w:val="20"/>
          </w:rPr>
          <w:t>https://ipm.ucanr.edu/agriculture/walnut/blackline/</w:t>
        </w:r>
      </w:hyperlink>
    </w:p>
    <w:p>
      <w:pPr>
        <w:spacing w:after="120"/>
      </w:pPr>
      <w:r>
        <w:rPr>
          <w:b/>
        </w:rPr>
        <w:t xml:space="preserve">[10] </w:t>
      </w:r>
      <w:r>
        <w:t xml:space="preserve">UC Statewide IPM Program (UC IPM). Walnut Blight – Walnut, Pest Management Guidelines. Disponibil la: </w:t>
      </w:r>
      <w:hyperlink r:id="rId18">
        <w:r>
          <w:rPr>
            <w:color w:val="1155CC"/>
            <w:u w:val="single"/>
            <w:sz w:val="20"/>
          </w:rPr>
          <w:t>https://ipm.ucanr.edu/agriculture/walnut/walnut-blight/</w:t>
        </w:r>
      </w:hyperlink>
    </w:p>
    <w:p>
      <w:pPr>
        <w:spacing w:after="120"/>
      </w:pPr>
      <w:r>
        <w:rPr>
          <w:b/>
        </w:rPr>
        <w:t xml:space="preserve">[11] </w:t>
      </w:r>
      <w:r>
        <w:t xml:space="preserve">UCCE Water &amp; Climate Program (Mendocino &amp; Lake). Water Quality Technical Note – Boron (B). Disponibil la: </w:t>
      </w:r>
      <w:hyperlink r:id="rId19">
        <w:r>
          <w:rPr>
            <w:color w:val="1155CC"/>
            <w:u w:val="single"/>
            <w:sz w:val="20"/>
          </w:rPr>
          <w:t>https://ucanr.edu/site/water-resources-management/article/water-quality-technical-note-boron-b</w:t>
        </w:r>
      </w:hyperlink>
    </w:p>
    <w:p>
      <w:pPr>
        <w:spacing w:after="120"/>
      </w:pPr>
      <w:r>
        <w:rPr>
          <w:b/>
        </w:rPr>
        <w:t xml:space="preserve">[12] </w:t>
      </w:r>
      <w:r>
        <w:t xml:space="preserve">Brdar-Jokanović, M. (2020). Boron Toxicity and Deficiency in Agricultural Plants. International Journal of Molecular Sciences, 21(4):1424 (peer-reviewed). Disponibil la: </w:t>
      </w:r>
      <w:hyperlink r:id="rId20">
        <w:r>
          <w:rPr>
            <w:color w:val="1155CC"/>
            <w:u w:val="single"/>
            <w:sz w:val="20"/>
          </w:rPr>
          <w:t>https://pmc.ncbi.nlm.nih.gov/articles/PMC7073067/</w:t>
        </w:r>
      </w:hyperlink>
    </w:p>
    <w:p>
      <w:pPr>
        <w:spacing w:after="120"/>
      </w:pPr>
      <w:r>
        <w:rPr>
          <w:b/>
        </w:rPr>
        <w:t xml:space="preserve">[13] </w:t>
      </w:r>
      <w:r>
        <w:t xml:space="preserve">Sierra Gold Nurseries. Walnut Varieties – Chandler (fișă de soi). Disponibil la: </w:t>
      </w:r>
      <w:hyperlink r:id="rId21">
        <w:r>
          <w:rPr>
            <w:color w:val="1155CC"/>
            <w:u w:val="single"/>
            <w:sz w:val="20"/>
          </w:rPr>
          <w:t>https://www.sierragoldtrees.com/walnut-varieties</w:t>
        </w:r>
      </w:hyperlink>
    </w:p>
    <w:p>
      <w:r>
        <w:br w:type="page"/>
      </w:r>
    </w:p>
    <w:p>
      <w:pPr>
        <w:pStyle w:val="Heading1"/>
      </w:pPr>
      <w:r>
        <w:t>Anexă – Surse utilizate</w:t>
      </w:r>
    </w:p>
    <w:p>
      <w:pPr>
        <w:spacing w:after="120"/>
      </w:pPr>
      <w:r>
        <w:rPr>
          <w:b w:val="0"/>
          <w:i/>
          <w:color w:val="555555"/>
          <w:sz w:val="22"/>
        </w:rP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spacing w:after="60"/>
      </w:pPr>
      <w:r>
        <w:rPr>
          <w:b/>
          <w:color w:val="198754"/>
          <w:sz w:val="20"/>
        </w:rPr>
        <w:t xml:space="preserve">Autori: </w:t>
      </w:r>
      <w:r>
        <w:rPr>
          <w:sz w:val="20"/>
        </w:rPr>
        <w:t>Daniel Geisseler (Ph.D., UCCE Specialist in Nutrient Management)</w:t>
      </w:r>
    </w:p>
    <w:p>
      <w:pPr>
        <w:spacing w:after="60"/>
      </w:pPr>
      <w:r>
        <w:rPr>
          <w:b/>
          <w:color w:val="198754"/>
          <w:sz w:val="20"/>
        </w:rPr>
        <w:t xml:space="preserve">Instituția emitentă: </w:t>
      </w:r>
      <w:r>
        <w:rPr>
          <w:sz w:val="20"/>
        </w:rPr>
        <w:t>CDFA – Fertilizer Research and Education Program (FREP) &amp; University of California, Davis</w:t>
      </w:r>
    </w:p>
    <w:p>
      <w:pPr>
        <w:spacing w:after="60"/>
      </w:pPr>
      <w:r>
        <w:rPr>
          <w:b/>
          <w:color w:val="198754"/>
          <w:sz w:val="20"/>
        </w:rPr>
        <w:t xml:space="preserve">Anul publicării: </w:t>
      </w:r>
      <w:r>
        <w:rPr>
          <w:sz w:val="20"/>
        </w:rPr>
        <w:t>2015 (ultima actualizare)</w:t>
      </w:r>
    </w:p>
    <w:p>
      <w:pPr>
        <w:spacing w:after="60"/>
      </w:pPr>
      <w:r>
        <w:rPr>
          <w:b/>
          <w:color w:val="198754"/>
          <w:sz w:val="20"/>
        </w:rPr>
        <w:t xml:space="preserve">Link direct (verificat funcțional): </w:t>
      </w:r>
      <w:hyperlink r:id="rId9">
        <w:r>
          <w:rPr>
            <w:color w:val="1155CC"/>
            <w:u w:val="single"/>
            <w:sz w:val="20"/>
          </w:rPr>
          <w:t>https://www.cdfa.ca.gov/is/ffldrs/frep/FertilizationGuidelines/Walnut.html</w:t>
        </w:r>
      </w:hyperlink>
    </w:p>
    <w:p>
      <w:pPr>
        <w:spacing w:after="60"/>
      </w:pPr>
      <w:r>
        <w:rPr>
          <w:b/>
          <w:color w:val="198754"/>
          <w:sz w:val="20"/>
        </w:rPr>
        <w:t xml:space="preserve">Rezumatul informațiilor preluate: </w:t>
      </w:r>
      <w:r>
        <w:rPr>
          <w:sz w:val="20"/>
        </w:rPr>
        <w:t>Ghid oficial de fertilizare a nucului: procedura de prelevare foliară (iulie, foliole terminale de pe pinteni nefructiferi, ~50 foliole, 5–10 pomi/bloc), valorile critice pentru N (2,2–3,2 %), P (0,1–0,3 %), K (&gt; 1,2 %), interpretarea rezultatelor și simptomele de carență N/K.</w:t>
      </w:r>
    </w:p>
    <w:p>
      <w:pPr>
        <w:spacing w:after="60"/>
      </w:pPr>
      <w:r>
        <w:rPr>
          <w:b/>
          <w:color w:val="198754"/>
          <w:sz w:val="20"/>
        </w:rPr>
        <w:t xml:space="preserve">Mod de utilizare în ghid: </w:t>
      </w:r>
      <w:r>
        <w:rPr>
          <w:sz w:val="20"/>
        </w:rPr>
        <w:t>Sursă principală pentru protocolul de prelevare (cap. 3), pragurile de macroelemente (cap. 4.1) și interpretarea N, P, K (cap. 5).</w:t>
      </w:r>
    </w:p>
    <w:p>
      <w:pPr>
        <w:pStyle w:val="Heading3"/>
      </w:pPr>
      <w:r>
        <w:t>Sursa 2: Nutrient Management – Walnut (versiunea UC Davis a ghidului de fertilizare)</w:t>
      </w:r>
    </w:p>
    <w:p>
      <w:pPr>
        <w:spacing w:after="60"/>
      </w:pPr>
      <w:r>
        <w:rPr>
          <w:b/>
          <w:color w:val="198754"/>
          <w:sz w:val="20"/>
        </w:rPr>
        <w:t xml:space="preserve">Autori: </w:t>
      </w:r>
      <w:r>
        <w:rPr>
          <w:sz w:val="20"/>
        </w:rPr>
        <w:t>Daniel Geisseler (Ph.D.); recenzenți: J.A. Grant, K.S. Pope, W.R. Horwath</w:t>
      </w:r>
    </w:p>
    <w:p>
      <w:pPr>
        <w:spacing w:after="60"/>
      </w:pPr>
      <w:r>
        <w:rPr>
          <w:b/>
          <w:color w:val="198754"/>
          <w:sz w:val="20"/>
        </w:rPr>
        <w:t xml:space="preserve">Instituția emitentă: </w:t>
      </w:r>
      <w:r>
        <w:rPr>
          <w:sz w:val="20"/>
        </w:rPr>
        <w:t>University of California, Davis – Department of Land, Air and Water Resources</w:t>
      </w:r>
    </w:p>
    <w:p>
      <w:pPr>
        <w:spacing w:after="60"/>
      </w:pPr>
      <w:r>
        <w:rPr>
          <w:b/>
          <w:color w:val="198754"/>
          <w:sz w:val="20"/>
        </w:rPr>
        <w:t xml:space="preserve">Anul publicării: </w:t>
      </w:r>
      <w:r>
        <w:rPr>
          <w:sz w:val="20"/>
        </w:rPr>
        <w:t>2015</w:t>
      </w:r>
    </w:p>
    <w:p>
      <w:pPr>
        <w:spacing w:after="60"/>
      </w:pPr>
      <w:r>
        <w:rPr>
          <w:b/>
          <w:color w:val="198754"/>
          <w:sz w:val="20"/>
        </w:rPr>
        <w:t xml:space="preserve">Link direct (verificat funcțional): </w:t>
      </w:r>
      <w:hyperlink r:id="rId10">
        <w:r>
          <w:rPr>
            <w:color w:val="1155CC"/>
            <w:u w:val="single"/>
            <w:sz w:val="20"/>
          </w:rPr>
          <w:t>http://geisseler.ucdavis.edu/Guidelines/Walnut.html</w:t>
        </w:r>
      </w:hyperlink>
    </w:p>
    <w:p>
      <w:pPr>
        <w:spacing w:after="60"/>
      </w:pPr>
      <w:r>
        <w:rPr>
          <w:b/>
          <w:color w:val="198754"/>
          <w:sz w:val="20"/>
        </w:rPr>
        <w:t xml:space="preserve">Rezumatul informațiilor preluate: </w:t>
      </w:r>
      <w:r>
        <w:rPr>
          <w:sz w:val="20"/>
        </w:rPr>
        <w:t>Varianta găzduită de UC Davis a aceluiași ghid de fertilizare a nucului, cu detalii pe elemente și pe fenofaze.</w:t>
      </w:r>
    </w:p>
    <w:p>
      <w:pPr>
        <w:spacing w:after="60"/>
      </w:pPr>
      <w:r>
        <w:rPr>
          <w:b/>
          <w:color w:val="198754"/>
          <w:sz w:val="20"/>
        </w:rPr>
        <w:t xml:space="preserve">Mod de utilizare în ghid: </w:t>
      </w:r>
      <w:r>
        <w:rPr>
          <w:sz w:val="20"/>
        </w:rPr>
        <w:t>Confirmare încrucișată a pragurilor și a procedurii de prelevare (cap. 3 și 4).</w:t>
      </w:r>
    </w:p>
    <w:p>
      <w:pPr>
        <w:pStyle w:val="Heading3"/>
      </w:pPr>
      <w:r>
        <w:t>Sursa 3: Walnut Nutrition – How to Develop a Balanced Program</w:t>
      </w:r>
    </w:p>
    <w:p>
      <w:pPr>
        <w:spacing w:after="60"/>
      </w:pPr>
      <w:r>
        <w:rPr>
          <w:b/>
          <w:color w:val="198754"/>
          <w:sz w:val="20"/>
        </w:rPr>
        <w:t xml:space="preserve">Autori: </w:t>
      </w:r>
      <w:r>
        <w:rPr>
          <w:sz w:val="20"/>
        </w:rPr>
        <w:t>Bob (Robert) Beede (UC Farm Advisor, Kings County)</w:t>
      </w:r>
    </w:p>
    <w:p>
      <w:pPr>
        <w:spacing w:after="60"/>
      </w:pPr>
      <w:r>
        <w:rPr>
          <w:b/>
          <w:color w:val="198754"/>
          <w:sz w:val="20"/>
        </w:rPr>
        <w:t xml:space="preserve">Instituția emitentă: </w:t>
      </w:r>
      <w:r>
        <w:rPr>
          <w:sz w:val="20"/>
        </w:rPr>
        <w:t>University of California Cooperative Extension (bazat pe Walnut Production Manual, UC ANR)</w:t>
      </w:r>
    </w:p>
    <w:p>
      <w:pPr>
        <w:spacing w:after="60"/>
      </w:pPr>
      <w:r>
        <w:rPr>
          <w:b/>
          <w:color w:val="198754"/>
          <w:sz w:val="20"/>
        </w:rPr>
        <w:t xml:space="preserve">Anul publicării: </w:t>
      </w:r>
      <w:r>
        <w:rPr>
          <w:sz w:val="20"/>
        </w:rPr>
        <w:t>cca. 2013</w:t>
      </w:r>
    </w:p>
    <w:p>
      <w:pPr>
        <w:spacing w:after="60"/>
      </w:pPr>
      <w:r>
        <w:rPr>
          <w:b/>
          <w:color w:val="198754"/>
          <w:sz w:val="20"/>
        </w:rPr>
        <w:t xml:space="preserve">Link direct (verificat funcțional): </w:t>
      </w:r>
      <w:hyperlink r:id="rId11">
        <w:r>
          <w:rPr>
            <w:color w:val="1155CC"/>
            <w:u w:val="single"/>
            <w:sz w:val="20"/>
          </w:rPr>
          <w:t>https://ucanr.edu/sites/default/files/2013-02/161801.pdf</w:t>
        </w:r>
      </w:hyperlink>
    </w:p>
    <w:p>
      <w:pPr>
        <w:spacing w:after="60"/>
      </w:pPr>
      <w:r>
        <w:rPr>
          <w:b/>
          <w:color w:val="198754"/>
          <w:sz w:val="20"/>
        </w:rPr>
        <w:t xml:space="preserve">Rezumatul informațiilor preluate: </w:t>
      </w:r>
      <w:r>
        <w:rPr>
          <w:sz w:val="20"/>
        </w:rPr>
        <w:t>Prezentare tehnică privind nutriția nucului: tabelul „Leaf Samples and Critical Values” (N &lt; 2,1 deficient / 2,2–3,2 adecvat; K 0,9 / &gt; 1,2; Zn 18; B &lt; 20 / 36–300 / &gt; 300, toxic), efectul pH-ului asupra disponibilității Zn/Cu/Mn/Fe, bugetul de azot.</w:t>
      </w:r>
    </w:p>
    <w:p>
      <w:pPr>
        <w:spacing w:after="60"/>
      </w:pPr>
      <w:r>
        <w:rPr>
          <w:b/>
          <w:color w:val="198754"/>
          <w:sz w:val="20"/>
        </w:rPr>
        <w:t xml:space="preserve">Mod de utilizare în ghid: </w:t>
      </w:r>
      <w:r>
        <w:rPr>
          <w:sz w:val="20"/>
        </w:rPr>
        <w:t>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spacing w:after="60"/>
      </w:pPr>
      <w:r>
        <w:rPr>
          <w:b/>
          <w:color w:val="198754"/>
          <w:sz w:val="20"/>
        </w:rPr>
        <w:t xml:space="preserve">Autori: </w:t>
      </w:r>
      <w:r>
        <w:rPr>
          <w:sz w:val="20"/>
        </w:rPr>
        <w:t>Patrick H. Brown, Kiyoto Uriu; ed. David E. Ramos</w:t>
      </w:r>
    </w:p>
    <w:p>
      <w:pPr>
        <w:spacing w:after="60"/>
      </w:pPr>
      <w:r>
        <w:rPr>
          <w:b/>
          <w:color w:val="198754"/>
          <w:sz w:val="20"/>
        </w:rPr>
        <w:t xml:space="preserve">Instituția emitentă: </w:t>
      </w:r>
      <w:r>
        <w:rPr>
          <w:sz w:val="20"/>
        </w:rPr>
        <w:t>University of California, Division of Agriculture and Natural Resources (UC ANR)</w:t>
      </w:r>
    </w:p>
    <w:p>
      <w:pPr>
        <w:spacing w:after="60"/>
      </w:pPr>
      <w:r>
        <w:rPr>
          <w:b/>
          <w:color w:val="198754"/>
          <w:sz w:val="20"/>
        </w:rPr>
        <w:t xml:space="preserve">Anul publicării: </w:t>
      </w:r>
      <w:r>
        <w:rPr>
          <w:sz w:val="20"/>
        </w:rPr>
        <w:t>1998</w:t>
      </w:r>
    </w:p>
    <w:p>
      <w:pPr>
        <w:spacing w:after="60"/>
      </w:pPr>
      <w:r>
        <w:rPr>
          <w:b/>
          <w:color w:val="198754"/>
          <w:sz w:val="20"/>
        </w:rPr>
        <w:t xml:space="preserve">Link direct (verificat funcțional): </w:t>
      </w:r>
      <w:hyperlink r:id="rId12">
        <w:r>
          <w:rPr>
            <w:color w:val="1155CC"/>
            <w:u w:val="single"/>
            <w:sz w:val="20"/>
          </w:rPr>
          <w:t>https://anrcatalog.ucanr.edu/Details.aspx?itemNo=3373</w:t>
        </w:r>
      </w:hyperlink>
    </w:p>
    <w:p>
      <w:pPr>
        <w:spacing w:after="60"/>
      </w:pPr>
      <w:r>
        <w:rPr>
          <w:b/>
          <w:color w:val="198754"/>
          <w:sz w:val="20"/>
        </w:rPr>
        <w:t xml:space="preserve">Rezumatul informațiilor preluate: </w:t>
      </w:r>
      <w:r>
        <w:rPr>
          <w:sz w:val="20"/>
        </w:rPr>
        <w:t>Capitolul de referință privind diagnosticul carențelor și toxicităților la nuc, sursa primară a valorilor critice foliare utilizate ulterior de UC/CDFA și de laboratoarele de referință (citat de ghidul Della Valle).</w:t>
      </w:r>
    </w:p>
    <w:p>
      <w:pPr>
        <w:spacing w:after="60"/>
      </w:pPr>
      <w:r>
        <w:rPr>
          <w:b/>
          <w:color w:val="198754"/>
          <w:sz w:val="20"/>
        </w:rPr>
        <w:t xml:space="preserve">Mod de utilizare în ghid: </w:t>
      </w:r>
      <w:r>
        <w:rPr>
          <w:sz w:val="20"/>
        </w:rPr>
        <w:t>Fundament științific al pragurilor de interpretare (cap. 4) prin lucrările derivate; citat ca sursă-mamă a standardelor de specie.</w:t>
      </w:r>
    </w:p>
    <w:p>
      <w:pPr>
        <w:pStyle w:val="Heading3"/>
      </w:pPr>
      <w:r>
        <w:t>Sursa 5: Plant Tissue Sampling in Orchards and Vineyards</w:t>
      </w:r>
    </w:p>
    <w:p>
      <w:pPr>
        <w:spacing w:after="60"/>
      </w:pPr>
      <w:r>
        <w:rPr>
          <w:b/>
          <w:color w:val="198754"/>
          <w:sz w:val="20"/>
        </w:rPr>
        <w:t xml:space="preserve">Autori: </w:t>
      </w:r>
      <w:r>
        <w:rPr>
          <w:sz w:val="20"/>
        </w:rPr>
        <w:t>Patricia Lazicki, Daniel Geisseler</w:t>
      </w:r>
    </w:p>
    <w:p>
      <w:pPr>
        <w:spacing w:after="60"/>
      </w:pPr>
      <w:r>
        <w:rPr>
          <w:b/>
          <w:color w:val="198754"/>
          <w:sz w:val="20"/>
        </w:rPr>
        <w:t xml:space="preserve">Instituția emitentă: </w:t>
      </w:r>
      <w:r>
        <w:rPr>
          <w:sz w:val="20"/>
        </w:rPr>
        <w:t>University of California, Davis / CDFA-FREP</w:t>
      </w:r>
    </w:p>
    <w:p>
      <w:pPr>
        <w:spacing w:after="60"/>
      </w:pPr>
      <w:r>
        <w:rPr>
          <w:b/>
          <w:color w:val="198754"/>
          <w:sz w:val="20"/>
        </w:rPr>
        <w:t xml:space="preserve">Anul publicării: </w:t>
      </w:r>
      <w:r>
        <w:rPr>
          <w:sz w:val="20"/>
        </w:rPr>
        <w:t>2016</w:t>
      </w:r>
    </w:p>
    <w:p>
      <w:pPr>
        <w:spacing w:after="60"/>
      </w:pPr>
      <w:r>
        <w:rPr>
          <w:b/>
          <w:color w:val="198754"/>
          <w:sz w:val="20"/>
        </w:rPr>
        <w:t xml:space="preserve">Link direct (verificat funcțional): </w:t>
      </w:r>
      <w:hyperlink r:id="rId13">
        <w:r>
          <w:rPr>
            <w:color w:val="1155CC"/>
            <w:u w:val="single"/>
            <w:sz w:val="20"/>
          </w:rPr>
          <w:t>https://apps1.cdfa.ca.gov/FertilizerResearch/docs/Orchard_Tissue_Sampling.pdf</w:t>
        </w:r>
      </w:hyperlink>
    </w:p>
    <w:p>
      <w:pPr>
        <w:spacing w:after="60"/>
      </w:pPr>
      <w:r>
        <w:rPr>
          <w:b/>
          <w:color w:val="198754"/>
          <w:sz w:val="20"/>
        </w:rPr>
        <w:t xml:space="preserve">Rezumatul informațiilor preluate: </w:t>
      </w:r>
      <w:r>
        <w:rPr>
          <w:sz w:val="20"/>
        </w:rPr>
        <w:t>Ghid general de prelevare a țesutului în livezi și podgorii: momentul optim, organul de prelevat, numărul de probe, evitarea contaminării și a probelor nereprezentative.</w:t>
      </w:r>
    </w:p>
    <w:p>
      <w:pPr>
        <w:spacing w:after="60"/>
      </w:pPr>
      <w:r>
        <w:rPr>
          <w:b/>
          <w:color w:val="198754"/>
          <w:sz w:val="20"/>
        </w:rPr>
        <w:t xml:space="preserve">Mod de utilizare în ghid: </w:t>
      </w:r>
      <w:r>
        <w:rPr>
          <w:sz w:val="20"/>
        </w:rPr>
        <w:t>Bune practici de prelevare, ambalare și evitare a contaminării (cap. 3.3 și 3.4).</w:t>
      </w:r>
    </w:p>
    <w:p>
      <w:pPr>
        <w:pStyle w:val="Heading3"/>
      </w:pPr>
      <w:r>
        <w:t>Sursa 6: Walnut Leaf Sampling Guide</w:t>
      </w:r>
    </w:p>
    <w:p>
      <w:pPr>
        <w:spacing w:after="60"/>
      </w:pPr>
      <w:r>
        <w:rPr>
          <w:b/>
          <w:color w:val="198754"/>
          <w:sz w:val="20"/>
        </w:rPr>
        <w:t xml:space="preserve">Autori: </w:t>
      </w:r>
      <w:r>
        <w:rPr>
          <w:sz w:val="20"/>
        </w:rPr>
        <w:t>Della Valle Laboratory (colectiv tehnic); referințe: Anderson et al. 2006, Brown &amp; Uriu 1998</w:t>
      </w:r>
    </w:p>
    <w:p>
      <w:pPr>
        <w:spacing w:after="60"/>
      </w:pPr>
      <w:r>
        <w:rPr>
          <w:b/>
          <w:color w:val="198754"/>
          <w:sz w:val="20"/>
        </w:rPr>
        <w:t xml:space="preserve">Instituția emitentă: </w:t>
      </w:r>
      <w:r>
        <w:rPr>
          <w:sz w:val="20"/>
        </w:rPr>
        <w:t>Della Valle Laboratory (laborator de referință, Fresno, CA)</w:t>
      </w:r>
    </w:p>
    <w:p>
      <w:pPr>
        <w:spacing w:after="60"/>
      </w:pPr>
      <w:r>
        <w:rPr>
          <w:b/>
          <w:color w:val="198754"/>
          <w:sz w:val="20"/>
        </w:rPr>
        <w:t xml:space="preserve">Anul publicării: </w:t>
      </w:r>
      <w:r>
        <w:rPr>
          <w:sz w:val="20"/>
        </w:rPr>
        <w:t>2022</w:t>
      </w:r>
    </w:p>
    <w:p>
      <w:pPr>
        <w:spacing w:after="60"/>
      </w:pPr>
      <w:r>
        <w:rPr>
          <w:b/>
          <w:color w:val="198754"/>
          <w:sz w:val="20"/>
        </w:rPr>
        <w:t xml:space="preserve">Link direct (verificat funcțional): </w:t>
      </w:r>
      <w:hyperlink r:id="rId14">
        <w:r>
          <w:rPr>
            <w:color w:val="1155CC"/>
            <w:u w:val="single"/>
            <w:sz w:val="20"/>
          </w:rPr>
          <w:t>https://dellavallelab.com/wp-content/uploads/2022/11/Walnut-Sampling-Guide-Final.pdf</w:t>
        </w:r>
      </w:hyperlink>
    </w:p>
    <w:p>
      <w:pPr>
        <w:spacing w:after="60"/>
      </w:pPr>
      <w:r>
        <w:rPr>
          <w:b/>
          <w:color w:val="198754"/>
          <w:sz w:val="20"/>
        </w:rPr>
        <w:t xml:space="preserve">Rezumatul informațiilor preluate: </w:t>
      </w:r>
      <w:r>
        <w:rPr>
          <w:sz w:val="20"/>
        </w:rPr>
        <w:t>Instrucțiuni operaționale de prelevare: interval mai-septembrie cu referință în iulie, 30–50 foliole terminale de pe pinteni nefructiferi, 1,8–2,4 m înălțime, pomi la ~12 m distanță, pachete de teste (L2/L3), pregătirea probei pentru laborator.</w:t>
      </w:r>
    </w:p>
    <w:p>
      <w:pPr>
        <w:spacing w:after="60"/>
      </w:pPr>
      <w:r>
        <w:rPr>
          <w:b/>
          <w:color w:val="198754"/>
          <w:sz w:val="20"/>
        </w:rPr>
        <w:t xml:space="preserve">Mod de utilizare în ghid: </w:t>
      </w:r>
      <w:r>
        <w:rPr>
          <w:sz w:val="20"/>
        </w:rPr>
        <w:t>Detalii practice de prelevare, numărul de foliole, distanța între pomi, ambalarea în pungă de hârtie (cap. 3.2 și 3.3).</w:t>
      </w:r>
    </w:p>
    <w:p>
      <w:pPr>
        <w:pStyle w:val="Heading3"/>
      </w:pPr>
      <w:r>
        <w:t>Sursa 7: Walnut – Procedures for Soil and Plant Tissue Sampling</w:t>
      </w:r>
    </w:p>
    <w:p>
      <w:pPr>
        <w:spacing w:after="60"/>
      </w:pPr>
      <w:r>
        <w:rPr>
          <w:b/>
          <w:color w:val="198754"/>
          <w:sz w:val="20"/>
        </w:rPr>
        <w:t xml:space="preserve">Autori: </w:t>
      </w:r>
      <w:r>
        <w:rPr>
          <w:sz w:val="20"/>
        </w:rPr>
        <w:t>FGL Environmental (colectiv tehnic)</w:t>
      </w:r>
    </w:p>
    <w:p>
      <w:pPr>
        <w:spacing w:after="60"/>
      </w:pPr>
      <w:r>
        <w:rPr>
          <w:b/>
          <w:color w:val="198754"/>
          <w:sz w:val="20"/>
        </w:rPr>
        <w:t xml:space="preserve">Instituția emitentă: </w:t>
      </w:r>
      <w:r>
        <w:rPr>
          <w:sz w:val="20"/>
        </w:rPr>
        <w:t>FGL Environmental Analytical Laboratories</w:t>
      </w:r>
    </w:p>
    <w:p>
      <w:pPr>
        <w:spacing w:after="60"/>
      </w:pPr>
      <w:r>
        <w:rPr>
          <w:b/>
          <w:color w:val="198754"/>
          <w:sz w:val="20"/>
        </w:rPr>
        <w:t xml:space="preserve">Anul publicării: </w:t>
      </w:r>
      <w:r>
        <w:rPr>
          <w:sz w:val="20"/>
        </w:rPr>
        <w:t>2020</w:t>
      </w:r>
    </w:p>
    <w:p>
      <w:pPr>
        <w:spacing w:after="60"/>
      </w:pPr>
      <w:r>
        <w:rPr>
          <w:b/>
          <w:color w:val="198754"/>
          <w:sz w:val="20"/>
        </w:rPr>
        <w:t xml:space="preserve">Link direct (verificat funcțional): </w:t>
      </w:r>
      <w:hyperlink r:id="rId15">
        <w:r>
          <w:rPr>
            <w:color w:val="1155CC"/>
            <w:u w:val="single"/>
            <w:sz w:val="20"/>
          </w:rPr>
          <w:t>https://fglinc.com/wordpress/wp-content/uploads/2020/08/Walnut_Leaf_and_Soil.pdf</w:t>
        </w:r>
      </w:hyperlink>
    </w:p>
    <w:p>
      <w:pPr>
        <w:spacing w:after="60"/>
      </w:pPr>
      <w:r>
        <w:rPr>
          <w:b/>
          <w:color w:val="198754"/>
          <w:sz w:val="20"/>
        </w:rPr>
        <w:t xml:space="preserve">Rezumatul informațiilor preluate: </w:t>
      </w:r>
      <w:r>
        <w:rPr>
          <w:sz w:val="20"/>
        </w:rPr>
        <w:t>Procedură de laborator pentru prelevarea de sol și țesut foliar la nuc, cu accent pe obținerea de probe reprezentative pentru analize corecte.</w:t>
      </w:r>
    </w:p>
    <w:p>
      <w:pPr>
        <w:spacing w:after="60"/>
      </w:pPr>
      <w:r>
        <w:rPr>
          <w:b/>
          <w:color w:val="198754"/>
          <w:sz w:val="20"/>
        </w:rPr>
        <w:t xml:space="preserve">Mod de utilizare în ghid: </w:t>
      </w:r>
      <w:r>
        <w:rPr>
          <w:sz w:val="20"/>
        </w:rPr>
        <w:t>Confirmarea criteriilor de reprezentativitate și de acceptare/respingere a probelor (cap. 3.4).</w:t>
      </w:r>
    </w:p>
    <w:p>
      <w:pPr>
        <w:pStyle w:val="Heading3"/>
      </w:pPr>
      <w:r>
        <w:t>Sursa 8: Zinc Deficiency (Home and Landscape)</w:t>
      </w:r>
    </w:p>
    <w:p>
      <w:pPr>
        <w:spacing w:after="60"/>
      </w:pPr>
      <w:r>
        <w:rPr>
          <w:b/>
          <w:color w:val="198754"/>
          <w:sz w:val="20"/>
        </w:rPr>
        <w:t xml:space="preserve">Autori: </w:t>
      </w:r>
      <w:r>
        <w:rPr>
          <w:sz w:val="20"/>
        </w:rPr>
        <w:t>UC Statewide IPM Program (colectiv)</w:t>
      </w:r>
    </w:p>
    <w:p>
      <w:pPr>
        <w:spacing w:after="60"/>
      </w:pPr>
      <w:r>
        <w:rPr>
          <w:b/>
          <w:color w:val="198754"/>
          <w:sz w:val="20"/>
        </w:rPr>
        <w:t xml:space="preserve">Instituția emitentă: </w:t>
      </w:r>
      <w:r>
        <w:rPr>
          <w:sz w:val="20"/>
        </w:rPr>
        <w:t>University of California – UC IPM</w:t>
      </w:r>
    </w:p>
    <w:p>
      <w:pPr>
        <w:spacing w:after="60"/>
      </w:pPr>
      <w:r>
        <w:rPr>
          <w:b/>
          <w:color w:val="198754"/>
          <w:sz w:val="20"/>
        </w:rPr>
        <w:t xml:space="preserve">Anul publicării: </w:t>
      </w:r>
      <w:r>
        <w:rPr>
          <w:sz w:val="20"/>
        </w:rPr>
        <w:t>actualizat periodic</w:t>
      </w:r>
    </w:p>
    <w:p>
      <w:pPr>
        <w:spacing w:after="60"/>
      </w:pPr>
      <w:r>
        <w:rPr>
          <w:b/>
          <w:color w:val="198754"/>
          <w:sz w:val="20"/>
        </w:rPr>
        <w:t xml:space="preserve">Link direct (verificat funcțional): </w:t>
      </w:r>
      <w:hyperlink r:id="rId16">
        <w:r>
          <w:rPr>
            <w:color w:val="1155CC"/>
            <w:u w:val="single"/>
            <w:sz w:val="20"/>
          </w:rPr>
          <w:t>http://ipm.ucanr.edu/PMG/GARDEN/PLANTS/DISORDERS/zincdeficiency.html</w:t>
        </w:r>
      </w:hyperlink>
    </w:p>
    <w:p>
      <w:pPr>
        <w:spacing w:after="60"/>
      </w:pPr>
      <w:r>
        <w:rPr>
          <w:b/>
          <w:color w:val="198754"/>
          <w:sz w:val="20"/>
        </w:rPr>
        <w:t xml:space="preserve">Rezumatul informațiilor preluate: </w:t>
      </w:r>
      <w:r>
        <w:rPr>
          <w:sz w:val="20"/>
        </w:rPr>
        <w:t>Descrierea simptomelor de carență de zinc: „little leaf”, rozetare (internoduri scurtate), cloroză la vârful lăstarilor, pornire în vegetație întârziată.</w:t>
      </w:r>
    </w:p>
    <w:p>
      <w:pPr>
        <w:spacing w:after="60"/>
      </w:pPr>
      <w:r>
        <w:rPr>
          <w:b/>
          <w:color w:val="198754"/>
          <w:sz w:val="20"/>
        </w:rPr>
        <w:t xml:space="preserve">Mod de utilizare în ghid: </w:t>
      </w:r>
      <w:r>
        <w:rPr>
          <w:sz w:val="20"/>
        </w:rPr>
        <w:t>Descrierea simptomelor de carență de Zn și corelarea cu valorile foliare (cap. 5.6 și 7).</w:t>
      </w:r>
    </w:p>
    <w:p>
      <w:pPr>
        <w:pStyle w:val="Heading3"/>
      </w:pPr>
      <w:r>
        <w:t>Sursa 9: Blackline – Walnut (Pest Management Guidelines)</w:t>
      </w:r>
    </w:p>
    <w:p>
      <w:pPr>
        <w:spacing w:after="60"/>
      </w:pPr>
      <w:r>
        <w:rPr>
          <w:b/>
          <w:color w:val="198754"/>
          <w:sz w:val="20"/>
        </w:rPr>
        <w:t xml:space="preserve">Autori: </w:t>
      </w:r>
      <w:r>
        <w:rPr>
          <w:sz w:val="20"/>
        </w:rPr>
        <w:t>UC Statewide IPM Program (colectiv)</w:t>
      </w:r>
    </w:p>
    <w:p>
      <w:pPr>
        <w:spacing w:after="60"/>
      </w:pPr>
      <w:r>
        <w:rPr>
          <w:b/>
          <w:color w:val="198754"/>
          <w:sz w:val="20"/>
        </w:rPr>
        <w:t xml:space="preserve">Instituția emitentă: </w:t>
      </w:r>
      <w:r>
        <w:rPr>
          <w:sz w:val="20"/>
        </w:rPr>
        <w:t>University of California – UC IPM</w:t>
      </w:r>
    </w:p>
    <w:p>
      <w:pPr>
        <w:spacing w:after="60"/>
      </w:pPr>
      <w:r>
        <w:rPr>
          <w:b/>
          <w:color w:val="198754"/>
          <w:sz w:val="20"/>
        </w:rPr>
        <w:t xml:space="preserve">Anul publicării: </w:t>
      </w:r>
      <w:r>
        <w:rPr>
          <w:sz w:val="20"/>
        </w:rPr>
        <w:t>actualizat periodic</w:t>
      </w:r>
    </w:p>
    <w:p>
      <w:pPr>
        <w:spacing w:after="60"/>
      </w:pPr>
      <w:r>
        <w:rPr>
          <w:b/>
          <w:color w:val="198754"/>
          <w:sz w:val="20"/>
        </w:rPr>
        <w:t xml:space="preserve">Link direct (verificat funcțional): </w:t>
      </w:r>
      <w:hyperlink r:id="rId17">
        <w:r>
          <w:rPr>
            <w:color w:val="1155CC"/>
            <w:u w:val="single"/>
            <w:sz w:val="20"/>
          </w:rPr>
          <w:t>https://ipm.ucanr.edu/agriculture/walnut/blackline/</w:t>
        </w:r>
      </w:hyperlink>
    </w:p>
    <w:p>
      <w:pPr>
        <w:spacing w:after="60"/>
      </w:pPr>
      <w:r>
        <w:rPr>
          <w:b/>
          <w:color w:val="198754"/>
          <w:sz w:val="20"/>
        </w:rPr>
        <w:t xml:space="preserve">Rezumatul informațiilor preluate: </w:t>
      </w:r>
      <w:r>
        <w:rPr>
          <w:sz w:val="20"/>
        </w:rPr>
        <w:t>Boala liniei negre distruge țesuturile care transportă apa și nutrienții între portaltoi și altoi, cu declin și defoliere care pot fi confundate cu carențe nutriționale.</w:t>
      </w:r>
    </w:p>
    <w:p>
      <w:pPr>
        <w:spacing w:after="60"/>
      </w:pPr>
      <w:r>
        <w:rPr>
          <w:b/>
          <w:color w:val="198754"/>
          <w:sz w:val="20"/>
        </w:rPr>
        <w:t xml:space="preserve">Mod de utilizare în ghid: </w:t>
      </w:r>
      <w:r>
        <w:rPr>
          <w:sz w:val="20"/>
        </w:rPr>
        <w:t>Baza pentru diferențierea simptomelor de blackline de carențele reale (cap. 1.2, 6, 8).</w:t>
      </w:r>
    </w:p>
    <w:p>
      <w:pPr>
        <w:pStyle w:val="Heading3"/>
      </w:pPr>
      <w:r>
        <w:t>Sursa 10: Walnut Blight – Walnut (Pest Management Guidelines)</w:t>
      </w:r>
    </w:p>
    <w:p>
      <w:pPr>
        <w:spacing w:after="60"/>
      </w:pPr>
      <w:r>
        <w:rPr>
          <w:b/>
          <w:color w:val="198754"/>
          <w:sz w:val="20"/>
        </w:rPr>
        <w:t xml:space="preserve">Autori: </w:t>
      </w:r>
      <w:r>
        <w:rPr>
          <w:sz w:val="20"/>
        </w:rPr>
        <w:t>UC Statewide IPM Program (colectiv)</w:t>
      </w:r>
    </w:p>
    <w:p>
      <w:pPr>
        <w:spacing w:after="60"/>
      </w:pPr>
      <w:r>
        <w:rPr>
          <w:b/>
          <w:color w:val="198754"/>
          <w:sz w:val="20"/>
        </w:rPr>
        <w:t xml:space="preserve">Instituția emitentă: </w:t>
      </w:r>
      <w:r>
        <w:rPr>
          <w:sz w:val="20"/>
        </w:rPr>
        <w:t>University of California – UC IPM</w:t>
      </w:r>
    </w:p>
    <w:p>
      <w:pPr>
        <w:spacing w:after="60"/>
      </w:pPr>
      <w:r>
        <w:rPr>
          <w:b/>
          <w:color w:val="198754"/>
          <w:sz w:val="20"/>
        </w:rPr>
        <w:t xml:space="preserve">Anul publicării: </w:t>
      </w:r>
      <w:r>
        <w:rPr>
          <w:sz w:val="20"/>
        </w:rPr>
        <w:t>actualizat periodic</w:t>
      </w:r>
    </w:p>
    <w:p>
      <w:pPr>
        <w:spacing w:after="60"/>
      </w:pPr>
      <w:r>
        <w:rPr>
          <w:b/>
          <w:color w:val="198754"/>
          <w:sz w:val="20"/>
        </w:rPr>
        <w:t xml:space="preserve">Link direct (verificat funcțional): </w:t>
      </w:r>
      <w:hyperlink r:id="rId18">
        <w:r>
          <w:rPr>
            <w:color w:val="1155CC"/>
            <w:u w:val="single"/>
            <w:sz w:val="20"/>
          </w:rPr>
          <w:t>https://ipm.ucanr.edu/agriculture/walnut/walnut-blight/</w:t>
        </w:r>
      </w:hyperlink>
    </w:p>
    <w:p>
      <w:pPr>
        <w:spacing w:after="60"/>
      </w:pPr>
      <w:r>
        <w:rPr>
          <w:b/>
          <w:color w:val="198754"/>
          <w:sz w:val="20"/>
        </w:rPr>
        <w:t xml:space="preserve">Rezumatul informațiilor preluate: </w:t>
      </w:r>
      <w:r>
        <w:rPr>
          <w:sz w:val="20"/>
        </w:rPr>
        <w:t>Managementul bacteriozei nucului (Xanthomonas arboricola pv. juglandis); soiurile cu pornire târzie (ca Chandler) sunt mai puțin expuse.</w:t>
      </w:r>
    </w:p>
    <w:p>
      <w:pPr>
        <w:spacing w:after="60"/>
      </w:pPr>
      <w:r>
        <w:rPr>
          <w:b/>
          <w:color w:val="198754"/>
          <w:sz w:val="20"/>
        </w:rPr>
        <w:t xml:space="preserve">Mod de utilizare în ghid: </w:t>
      </w:r>
      <w:r>
        <w:rPr>
          <w:sz w:val="20"/>
        </w:rPr>
        <w:t>Context privind toleranța relativă a soiului Chandler și influența asupra foliajului (cap. 1.2).</w:t>
      </w:r>
    </w:p>
    <w:p>
      <w:pPr>
        <w:pStyle w:val="Heading3"/>
      </w:pPr>
      <w:r>
        <w:t>Sursa 11: Water Quality Technical Note – Boron (B)</w:t>
      </w:r>
    </w:p>
    <w:p>
      <w:pPr>
        <w:spacing w:after="60"/>
      </w:pPr>
      <w:r>
        <w:rPr>
          <w:b/>
          <w:color w:val="198754"/>
          <w:sz w:val="20"/>
        </w:rPr>
        <w:t xml:space="preserve">Autori: </w:t>
      </w:r>
      <w:r>
        <w:rPr>
          <w:sz w:val="20"/>
        </w:rPr>
        <w:t>UCCE Water &amp; Climate Program (Mendocino &amp; Lake)</w:t>
      </w:r>
    </w:p>
    <w:p>
      <w:pPr>
        <w:spacing w:after="60"/>
      </w:pPr>
      <w:r>
        <w:rPr>
          <w:b/>
          <w:color w:val="198754"/>
          <w:sz w:val="20"/>
        </w:rPr>
        <w:t xml:space="preserve">Instituția emitentă: </w:t>
      </w:r>
      <w:r>
        <w:rPr>
          <w:sz w:val="20"/>
        </w:rPr>
        <w:t>University of California Cooperative Extension</w:t>
      </w:r>
    </w:p>
    <w:p>
      <w:pPr>
        <w:spacing w:after="60"/>
      </w:pPr>
      <w:r>
        <w:rPr>
          <w:b/>
          <w:color w:val="198754"/>
          <w:sz w:val="20"/>
        </w:rPr>
        <w:t xml:space="preserve">Anul publicării: </w:t>
      </w:r>
      <w:r>
        <w:rPr>
          <w:sz w:val="20"/>
        </w:rPr>
        <w:t>actualizat periodic</w:t>
      </w:r>
    </w:p>
    <w:p>
      <w:pPr>
        <w:spacing w:after="60"/>
      </w:pPr>
      <w:r>
        <w:rPr>
          <w:b/>
          <w:color w:val="198754"/>
          <w:sz w:val="20"/>
        </w:rPr>
        <w:t xml:space="preserve">Link direct (verificat funcțional): </w:t>
      </w:r>
      <w:hyperlink r:id="rId19">
        <w:r>
          <w:rPr>
            <w:color w:val="1155CC"/>
            <w:u w:val="single"/>
            <w:sz w:val="20"/>
          </w:rPr>
          <w:t>https://ucanr.edu/site/water-resources-management/article/water-quality-technical-note-boron-b</w:t>
        </w:r>
      </w:hyperlink>
    </w:p>
    <w:p>
      <w:pPr>
        <w:spacing w:after="60"/>
      </w:pPr>
      <w:r>
        <w:rPr>
          <w:b/>
          <w:color w:val="198754"/>
          <w:sz w:val="20"/>
        </w:rPr>
        <w:t xml:space="preserve">Rezumatul informațiilor preluate: </w:t>
      </w:r>
      <w:r>
        <w:rPr>
          <w:sz w:val="20"/>
        </w:rPr>
        <w:t>Praguri de toxicitate a borului din apa de irigație (toxicitate ușoară ~0,5 mg/L, severă ~5 mg/L); borul este imobil în nuc și se acumulează în vârful frunzelor.</w:t>
      </w:r>
    </w:p>
    <w:p>
      <w:pPr>
        <w:spacing w:after="60"/>
      </w:pPr>
      <w:r>
        <w:rPr>
          <w:b/>
          <w:color w:val="198754"/>
          <w:sz w:val="20"/>
        </w:rPr>
        <w:t xml:space="preserve">Mod de utilizare în ghid: </w:t>
      </w:r>
      <w:r>
        <w:rPr>
          <w:sz w:val="20"/>
        </w:rPr>
        <w:t>Interpretarea borului și corelarea cu apa de irigație (cap. 4.3 și 5.5).</w:t>
      </w:r>
    </w:p>
    <w:p>
      <w:pPr>
        <w:pStyle w:val="Heading3"/>
      </w:pPr>
      <w:r>
        <w:t>Sursa 12: Boron Toxicity and Deficiency in Agricultural Plants (Int. J. Mol. Sci., 21(4):1424) – peer-reviewed</w:t>
      </w:r>
    </w:p>
    <w:p>
      <w:pPr>
        <w:spacing w:after="60"/>
      </w:pPr>
      <w:r>
        <w:rPr>
          <w:b/>
          <w:color w:val="198754"/>
          <w:sz w:val="20"/>
        </w:rPr>
        <w:t xml:space="preserve">Autori: </w:t>
      </w:r>
      <w:r>
        <w:rPr>
          <w:sz w:val="20"/>
        </w:rPr>
        <w:t>Milka Brdar-Jokanović</w:t>
      </w:r>
    </w:p>
    <w:p>
      <w:pPr>
        <w:spacing w:after="60"/>
      </w:pPr>
      <w:r>
        <w:rPr>
          <w:b/>
          <w:color w:val="198754"/>
          <w:sz w:val="20"/>
        </w:rPr>
        <w:t xml:space="preserve">Instituția emitentă: </w:t>
      </w:r>
      <w:r>
        <w:rPr>
          <w:sz w:val="20"/>
        </w:rPr>
        <w:t>MDPI / International Journal of Molecular Sciences (indexat, revizuit de specialiști)</w:t>
      </w:r>
    </w:p>
    <w:p>
      <w:pPr>
        <w:spacing w:after="60"/>
      </w:pPr>
      <w:r>
        <w:rPr>
          <w:b/>
          <w:color w:val="198754"/>
          <w:sz w:val="20"/>
        </w:rPr>
        <w:t xml:space="preserve">Anul publicării: </w:t>
      </w:r>
      <w:r>
        <w:rPr>
          <w:sz w:val="20"/>
        </w:rPr>
        <w:t>2020</w:t>
      </w:r>
    </w:p>
    <w:p>
      <w:pPr>
        <w:spacing w:after="60"/>
      </w:pPr>
      <w:r>
        <w:rPr>
          <w:b/>
          <w:color w:val="198754"/>
          <w:sz w:val="20"/>
        </w:rPr>
        <w:t xml:space="preserve">Link direct (verificat funcțional): </w:t>
      </w:r>
      <w:hyperlink r:id="rId20">
        <w:r>
          <w:rPr>
            <w:color w:val="1155CC"/>
            <w:u w:val="single"/>
            <w:sz w:val="20"/>
          </w:rPr>
          <w:t>https://pmc.ncbi.nlm.nih.gov/articles/PMC7073067/</w:t>
        </w:r>
      </w:hyperlink>
    </w:p>
    <w:p>
      <w:pPr>
        <w:spacing w:after="60"/>
      </w:pPr>
      <w:r>
        <w:rPr>
          <w:b/>
          <w:color w:val="198754"/>
          <w:sz w:val="20"/>
        </w:rPr>
        <w:t xml:space="preserve">Rezumatul informațiilor preluate: </w:t>
      </w:r>
      <w:r>
        <w:rPr>
          <w:sz w:val="20"/>
        </w:rPr>
        <w:t>Sinteză peer-reviewed asupra toxicității și carenței de bor la plante: intervalul îngust dintre deficiență și toxicitate și efectele asupra producției.</w:t>
      </w:r>
    </w:p>
    <w:p>
      <w:pPr>
        <w:spacing w:after="60"/>
      </w:pPr>
      <w:r>
        <w:rPr>
          <w:b/>
          <w:color w:val="198754"/>
          <w:sz w:val="20"/>
        </w:rPr>
        <w:t xml:space="preserve">Mod de utilizare în ghid: </w:t>
      </w:r>
      <w:r>
        <w:rPr>
          <w:sz w:val="20"/>
        </w:rPr>
        <w:t>Susținerea științifică (peer-reviewed) a afirmației privind fereastra îngustă carență–toxicitate la bor (cap. 4.2 și 5.5).</w:t>
      </w:r>
    </w:p>
    <w:p>
      <w:pPr>
        <w:pStyle w:val="Heading3"/>
      </w:pPr>
      <w:r>
        <w:t>Sursa 13: Walnut Varieties – Chandler (fișă de soi)</w:t>
      </w:r>
    </w:p>
    <w:p>
      <w:pPr>
        <w:spacing w:after="60"/>
      </w:pPr>
      <w:r>
        <w:rPr>
          <w:b/>
          <w:color w:val="198754"/>
          <w:sz w:val="20"/>
        </w:rPr>
        <w:t xml:space="preserve">Autori: </w:t>
      </w:r>
      <w:r>
        <w:rPr>
          <w:sz w:val="20"/>
        </w:rPr>
        <w:t>Sierra Gold Nurseries (colectiv tehnic)</w:t>
      </w:r>
    </w:p>
    <w:p>
      <w:pPr>
        <w:spacing w:after="60"/>
      </w:pPr>
      <w:r>
        <w:rPr>
          <w:b/>
          <w:color w:val="198754"/>
          <w:sz w:val="20"/>
        </w:rPr>
        <w:t xml:space="preserve">Instituția emitentă: </w:t>
      </w:r>
      <w:r>
        <w:rPr>
          <w:sz w:val="20"/>
        </w:rPr>
        <w:t>Sierra Gold Nurseries (pepinieră de referință, California)</w:t>
      </w:r>
    </w:p>
    <w:p>
      <w:pPr>
        <w:spacing w:after="60"/>
      </w:pPr>
      <w:r>
        <w:rPr>
          <w:b/>
          <w:color w:val="198754"/>
          <w:sz w:val="20"/>
        </w:rPr>
        <w:t xml:space="preserve">Anul publicării: </w:t>
      </w:r>
      <w:r>
        <w:rPr>
          <w:sz w:val="20"/>
        </w:rPr>
        <w:t>actualizat periodic</w:t>
      </w:r>
    </w:p>
    <w:p>
      <w:pPr>
        <w:spacing w:after="60"/>
      </w:pPr>
      <w:r>
        <w:rPr>
          <w:b/>
          <w:color w:val="198754"/>
          <w:sz w:val="20"/>
        </w:rPr>
        <w:t xml:space="preserve">Link direct (verificat funcțional): </w:t>
      </w:r>
      <w:hyperlink r:id="rId21">
        <w:r>
          <w:rPr>
            <w:color w:val="1155CC"/>
            <w:u w:val="single"/>
            <w:sz w:val="20"/>
          </w:rPr>
          <w:t>https://www.sierragoldtrees.com/walnut-varieties</w:t>
        </w:r>
      </w:hyperlink>
    </w:p>
    <w:p>
      <w:pPr>
        <w:spacing w:after="60"/>
      </w:pPr>
      <w:r>
        <w:rPr>
          <w:b/>
          <w:color w:val="198754"/>
          <w:sz w:val="20"/>
        </w:rPr>
        <w:t xml:space="preserve">Rezumatul informațiilor preluate: </w:t>
      </w:r>
      <w:r>
        <w:rPr>
          <w:sz w:val="20"/>
        </w:rPr>
        <w:t>Fișa soiului Chandler: origine UC Davis, introducere comercială 1979, pornire foarte târzie (~18 zile după Payne), fructificare laterală 85–90%, miez de culoare deschisă, necesar de frig ridicat.</w:t>
      </w:r>
    </w:p>
    <w:p>
      <w:pPr>
        <w:spacing w:after="60"/>
      </w:pPr>
      <w:r>
        <w:rPr>
          <w:b/>
          <w:color w:val="198754"/>
          <w:sz w:val="20"/>
        </w:rPr>
        <w:t xml:space="preserve">Mod de utilizare în ghid: </w:t>
      </w:r>
      <w:r>
        <w:rPr>
          <w:sz w:val="20"/>
        </w:rPr>
        <w:t>Descrierea agronomică a soiului Chandler (cap. 1.1 și 1.2).</w:t>
      </w:r>
    </w:p>
    <w:p/>
    <w:p>
      <w:pPr>
        <w:spacing w:after="120"/>
      </w:pPr>
      <w:r>
        <w:rPr>
          <w:b w:val="0"/>
          <w:i/>
          <w:color w:val="555555"/>
          <w:sz w:val="18"/>
        </w:rP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0F5C3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98754"/>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F2F26"/>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dfa.ca.gov/is/ffldrs/frep/FertilizationGuidelines/Walnut.html" TargetMode="External"/><Relationship Id="rId10" Type="http://schemas.openxmlformats.org/officeDocument/2006/relationships/hyperlink" Target="http://geisseler.ucdavis.edu/Guidelines/Walnut.html" TargetMode="External"/><Relationship Id="rId11" Type="http://schemas.openxmlformats.org/officeDocument/2006/relationships/hyperlink" Target="https://ucanr.edu/sites/default/files/2013-02/161801.pdf" TargetMode="External"/><Relationship Id="rId12" Type="http://schemas.openxmlformats.org/officeDocument/2006/relationships/hyperlink" Target="https://anrcatalog.ucanr.edu/Details.aspx?itemNo=3373" TargetMode="External"/><Relationship Id="rId13" Type="http://schemas.openxmlformats.org/officeDocument/2006/relationships/hyperlink" Target="https://apps1.cdfa.ca.gov/FertilizerResearch/docs/Orchard_Tissue_Sampling.pdf" TargetMode="External"/><Relationship Id="rId14" Type="http://schemas.openxmlformats.org/officeDocument/2006/relationships/hyperlink" Target="https://dellavallelab.com/wp-content/uploads/2022/11/Walnut-Sampling-Guide-Final.pdf" TargetMode="External"/><Relationship Id="rId15" Type="http://schemas.openxmlformats.org/officeDocument/2006/relationships/hyperlink" Target="https://fglinc.com/wordpress/wp-content/uploads/2020/08/Walnut_Leaf_and_Soil.pdf" TargetMode="External"/><Relationship Id="rId16" Type="http://schemas.openxmlformats.org/officeDocument/2006/relationships/hyperlink" Target="http://ipm.ucanr.edu/PMG/GARDEN/PLANTS/DISORDERS/zincdeficiency.html" TargetMode="External"/><Relationship Id="rId17" Type="http://schemas.openxmlformats.org/officeDocument/2006/relationships/hyperlink" Target="https://ipm.ucanr.edu/agriculture/walnut/blackline/" TargetMode="External"/><Relationship Id="rId18" Type="http://schemas.openxmlformats.org/officeDocument/2006/relationships/hyperlink" Target="https://ipm.ucanr.edu/agriculture/walnut/walnut-blight/" TargetMode="External"/><Relationship Id="rId19" Type="http://schemas.openxmlformats.org/officeDocument/2006/relationships/hyperlink" Target="https://ucanr.edu/site/water-resources-management/article/water-quality-technical-note-boron-b" TargetMode="External"/><Relationship Id="rId20" Type="http://schemas.openxmlformats.org/officeDocument/2006/relationships/hyperlink" Target="https://pmc.ncbi.nlm.nih.gov/articles/PMC7073067/" TargetMode="External"/><Relationship Id="rId21" Type="http://schemas.openxmlformats.org/officeDocument/2006/relationships/hyperlink" Target="https://www.sierragoldtrees.com/walnut-varie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