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1200"/>
        <w:jc w:val="center"/>
      </w:pPr>
      <w:r>
        <w:rPr>
          <w:b/>
          <w:bCs/>
          <w:color w:val="198754"/>
          <w:sz w:val="56"/>
          <w:szCs w:val="56"/>
        </w:rPr>
        <w:t xml:space="preserve">EDTA Plant</w:t>
      </w:r>
    </w:p>
    <w:p>
      <w:pPr>
        <w:spacing w:after="120"/>
        <w:jc w:val="center"/>
      </w:pPr>
      <w:r>
        <w:rPr>
          <w:color w:val="5A6B60"/>
          <w:sz w:val="17"/>
          <w:szCs w:val="17"/>
        </w:rPr>
        <w:t xml:space="preserve">edtaplant.ro</w:t>
      </w:r>
    </w:p>
    <w:p>
      <w:pPr>
        <w:pBdr>
          <w:top w:val="single" w:color="198754" w:sz="6"/>
        </w:pBdr>
        <w:spacing w:after="60"/>
        <w:jc w:val="center"/>
      </w:pPr>
    </w:p>
    <w:p>
      <w:pPr>
        <w:spacing w:after="80" w:before="200"/>
        <w:jc w:val="center"/>
      </w:pPr>
      <w:r>
        <w:rPr>
          <w:b/>
          <w:bCs/>
          <w:color w:val="1F2F26"/>
          <w:sz w:val="44"/>
          <w:szCs w:val="44"/>
        </w:rPr>
        <w:t xml:space="preserve">Ghid tehnic de analiză foliară</w:t>
      </w:r>
    </w:p>
    <w:p>
      <w:pPr>
        <w:spacing w:after="60"/>
        <w:jc w:val="center"/>
      </w:pPr>
      <w:r>
        <w:rPr>
          <w:color w:val="0F5C3F"/>
          <w:sz w:val="30"/>
          <w:szCs w:val="30"/>
        </w:rPr>
        <w:t xml:space="preserve">Țelină pentru pețiol soiul Utah</w:t>
      </w:r>
    </w:p>
    <w:p>
      <w:pPr>
        <w:spacing w:after="80"/>
        <w:jc w:val="center"/>
      </w:pPr>
      <w:r>
        <w:rPr>
          <w:i/>
          <w:iCs/>
          <w:color w:val="5A6B60"/>
          <w:sz w:val="20"/>
          <w:szCs w:val="20"/>
        </w:rPr>
        <w:t xml:space="preserve">Apium graveolens var. dulce · Ediția 1 (Iulie 2026)</w:t>
      </w:r>
    </w:p>
    <w:p>
      <w:pPr>
        <w:spacing w:after="120" w:before="120"/>
        <w:jc w:val="center"/>
      </w:pPr>
      <w:r>
        <w:rPr>
          <w:b/>
          <w:bCs/>
          <w:color w:val="FFFFFF"/>
          <w:sz w:val="17"/>
          <w:szCs w:val="17"/>
          <w:shd w:color="B45309" w:val="solid"/>
        </w:rPr>
        <w:t xml:space="preserve">  Previzualizare — extras din documentul integral  </w:t>
      </w:r>
    </w:p>
    <w:tbl>
      <w:tblPr>
        <w:tblW w:type="pct" w:w="70%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Generat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21 octombrie 2026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Sursă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Standardele partajate EDTA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Consultanță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Nutriția plantelor 0729 857 947</w:t>
            </w:r>
          </w:p>
        </w:tc>
      </w:tr>
      <w:tr>
        <w:tc>
          <w:tcPr>
            <w:tcW w:type="pct" w:w="40%"/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b/>
                <w:bCs/>
                <w:color w:val="5A6B60"/>
                <w:sz w:val="17"/>
                <w:szCs w:val="17"/>
              </w:rPr>
              <w:t xml:space="preserve">Suport tehnic</w:t>
            </w:r>
          </w:p>
        </w:tc>
        <w:tc>
          <w:tcPr>
            <w:tcBorders>
              <w:top w:val="single" w:color="D7E2DA" w:sz="4"/>
              <w:left w:val="single" w:color="D7E2DA" w:sz="4"/>
              <w:bottom w:val="single" w:color="D7E2DA" w:sz="4"/>
              <w:right w:val="single" w:color="D7E2DA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color w:val="1F2F26"/>
                <w:sz w:val="17"/>
                <w:szCs w:val="17"/>
              </w:rPr>
              <w:t xml:space="preserve">0723 595 983</w:t>
            </w:r>
          </w:p>
        </w:tc>
      </w:tr>
    </w:tbl>
    <w:p>
      <w:r>
        <w:br w:type="page"/>
      </w:r>
    </w:p>
    <w:p>
      <w:pPr>
        <w:pStyle w:val="Heading1"/>
      </w:pPr>
      <w:r>
        <w:t xml:space="preserve">Cuprins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1.  </w:t>
      </w:r>
      <w:r>
        <w:rPr>
          <w:color w:val="1F2F26"/>
          <w:sz w:val="19"/>
          <w:szCs w:val="19"/>
        </w:rPr>
        <w:t xml:space="preserve">Prezentarea soiului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2.  </w:t>
      </w:r>
      <w:r>
        <w:rPr>
          <w:color w:val="1F2F26"/>
          <w:sz w:val="19"/>
          <w:szCs w:val="19"/>
        </w:rPr>
        <w:t xml:space="preserve">Galerie foto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3.  </w:t>
      </w:r>
      <w:r>
        <w:rPr>
          <w:color w:val="1F2F26"/>
          <w:sz w:val="19"/>
          <w:szCs w:val="19"/>
        </w:rPr>
        <w:t xml:space="preserve">Descriere agronomică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4.  </w:t>
      </w:r>
      <w:r>
        <w:rPr>
          <w:color w:val="1F2F26"/>
          <w:sz w:val="19"/>
          <w:szCs w:val="19"/>
        </w:rPr>
        <w:t xml:space="preserve">Recomandări tehnologice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5.  </w:t>
      </w:r>
      <w:r>
        <w:rPr>
          <w:color w:val="1F2F26"/>
          <w:sz w:val="19"/>
          <w:szCs w:val="19"/>
        </w:rPr>
        <w:t xml:space="preserve">Protocol de prelevare a probelor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6.  </w:t>
      </w:r>
      <w:r>
        <w:rPr>
          <w:color w:val="1F2F26"/>
          <w:sz w:val="19"/>
          <w:szCs w:val="19"/>
        </w:rPr>
        <w:t xml:space="preserve">Fenofaze de referință (scala BBCH)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7.  </w:t>
      </w:r>
      <w:r>
        <w:rPr>
          <w:color w:val="1F2F26"/>
          <w:sz w:val="19"/>
          <w:szCs w:val="19"/>
        </w:rPr>
        <w:t xml:space="preserve">Valori orientative — referințe agronomice ale speciei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8.  </w:t>
      </w:r>
      <w:r>
        <w:rPr>
          <w:color w:val="1F2F26"/>
          <w:sz w:val="19"/>
          <w:szCs w:val="19"/>
        </w:rPr>
        <w:t xml:space="preserve">Simptome de carență, exces și impact asupra producției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9.  </w:t>
      </w:r>
      <w:r>
        <w:rPr>
          <w:color w:val="1F2F26"/>
          <w:sz w:val="19"/>
          <w:szCs w:val="19"/>
        </w:rPr>
        <w:t xml:space="preserve">Întrebări frecvente despre soiul Utah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10.  </w:t>
      </w:r>
      <w:r>
        <w:rPr>
          <w:color w:val="1F2F26"/>
          <w:sz w:val="19"/>
          <w:szCs w:val="19"/>
        </w:rPr>
        <w:t xml:space="preserve">Surse &amp; referințe</w:t>
      </w:r>
    </w:p>
    <w:p>
      <w:pPr>
        <w:tabs>
          <w:tab w:val="right" w:pos="9070" w:leader="dot"/>
        </w:tabs>
        <w:spacing w:after="100"/>
      </w:pPr>
      <w:r>
        <w:rPr>
          <w:b/>
          <w:bCs/>
          <w:color w:val="0F5C3F"/>
          <w:sz w:val="19"/>
          <w:szCs w:val="19"/>
        </w:rPr>
        <w:t xml:space="preserve">11.  </w:t>
      </w:r>
      <w:r>
        <w:rPr>
          <w:color w:val="1F2F26"/>
          <w:sz w:val="19"/>
          <w:szCs w:val="19"/>
        </w:rPr>
        <w:t xml:space="preserve">Istoric versiuni</w:t>
      </w:r>
    </w:p>
    <w:p>
      <w:r>
        <w:br w:type="page"/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Prezentarea soiului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Cultura: </w:t>
      </w:r>
      <w:r>
        <w:rPr>
          <w:color w:val="1F2F26"/>
          <w:sz w:val="20"/>
          <w:szCs w:val="20"/>
        </w:rPr>
        <w:t xml:space="preserve">Țelină pentru pețiol (Apium graveolens var. dulce)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Soiul: </w:t>
      </w:r>
      <w:r>
        <w:rPr>
          <w:color w:val="1F2F26"/>
          <w:sz w:val="20"/>
          <w:szCs w:val="20"/>
        </w:rPr>
        <w:t xml:space="preserve">Utah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Origine: </w:t>
      </w:r>
      <w:r>
        <w:rPr>
          <w:color w:val="1F2F26"/>
          <w:sz w:val="20"/>
          <w:szCs w:val="20"/>
        </w:rPr>
        <w:t xml:space="preserve">Statele Unite (Utah 52-70)</w:t>
      </w:r>
    </w:p>
    <w:p>
      <w:pPr>
        <w:spacing w:after="60"/>
      </w:pPr>
      <w:r>
        <w:rPr>
          <w:b/>
          <w:bCs/>
          <w:color w:val="5A6B60"/>
          <w:sz w:val="20"/>
          <w:szCs w:val="20"/>
        </w:rPr>
        <w:t xml:space="preserve">Caracterizare scurtă: </w:t>
      </w:r>
      <w:r>
        <w:rPr>
          <w:color w:val="1F2F26"/>
          <w:sz w:val="20"/>
          <w:szCs w:val="20"/>
        </w:rPr>
        <w:t xml:space="preserve">Soi clasic de țelină pentru pețiol, pețioli verzi</w:t>
      </w:r>
    </w:p>
    <w:p>
      <w:pPr>
        <w:spacing w:after="120"/>
      </w:pPr>
      <w:r>
        <w:rPr>
          <w:color w:val="1F2F26"/>
          <w:sz w:val="20"/>
          <w:szCs w:val="20"/>
        </w:rPr>
        <w:t xml:space="preserve">Utah (Utah 52-70) este un soi clasic de țelină pentru pețiol, reper pentru pețiolii verzi, drepți și compacți, grupați într-un buchet strâns. Este cultivat pe scară largă pentru uniformitate și pentru pețiolii cărnoși, cu miez plin, apreciați pe piața de proaspăt.</w:t>
      </w:r>
    </w:p>
    <w:p>
      <w:pPr>
        <w:pStyle w:val="Heading2"/>
        <w:spacing w:after="100" w:before="200"/>
      </w:pPr>
      <w:r>
        <w:rPr>
          <w:b/>
          <w:bCs/>
          <w:color w:val="198754"/>
          <w:sz w:val="22"/>
          <w:szCs w:val="22"/>
        </w:rPr>
        <w:t xml:space="preserve">Caracteristici principale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Pețioli verzi, drepți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Buchet compact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Pețioli cărnoși, cu miez plin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color w:val="1F2F26"/>
          <w:sz w:val="20"/>
          <w:szCs w:val="20"/>
        </w:rPr>
        <w:t xml:space="preserve">Recoltă uniformă</w:t>
      </w:r>
    </w:p>
    <w:p>
      <w:pPr>
        <w:pStyle w:val="Heading1"/>
        <w:spacing w:after="160" w:before="320"/>
      </w:pPr>
      <w:r>
        <w:rPr>
          <w:b/>
          <w:bCs/>
          <w:color w:val="1F2F26"/>
          <w:sz w:val="28"/>
          <w:szCs w:val="28"/>
        </w:rPr>
        <w:t xml:space="preserve">Galerie foto</w:t>
      </w:r>
    </w:p>
    <w:p>
      <w:r>
        <w:br w:type="page"/>
      </w:r>
    </w:p>
    <w:p>
      <w:pPr>
        <w:spacing w:after="240" w:before="1800"/>
        <w:jc w:val="center"/>
      </w:pPr>
      <w:r>
        <w:rPr>
          <w:sz w:val="72"/>
          <w:szCs w:val="72"/>
        </w:rPr>
        <w:t xml:space="preserve">🔒</w:t>
      </w:r>
    </w:p>
    <w:p>
      <w:pPr>
        <w:spacing w:after="240"/>
        <w:jc w:val="center"/>
      </w:pPr>
      <w:r>
        <w:rPr>
          <w:b/>
          <w:bCs/>
          <w:color w:val="1F2F26"/>
          <w:sz w:val="30"/>
          <w:szCs w:val="30"/>
        </w:rPr>
        <w:t xml:space="preserve">Accesul complet la acest document este disponibil doar în varianta integrală.</w:t>
      </w:r>
    </w:p>
    <w:p>
      <w:pPr>
        <w:spacing w:after="240"/>
        <w:jc w:val="center"/>
      </w:pPr>
      <w:r>
        <w:rPr>
          <w:color w:val="5A6B60"/>
          <w:sz w:val="22"/>
          <w:szCs w:val="22"/>
        </w:rPr>
        <w:t xml:space="preserve">Acesta reprezintă un material tehnic profesional elaborat de echipa EDTA Plant și conține informații complete privind metodologia, interpretarea rezultatelor, recomandările tehnice și valorile de referință.</w:t>
      </w:r>
    </w:p>
    <w:p>
      <w:pPr>
        <w:spacing w:after="360"/>
        <w:jc w:val="center"/>
      </w:pPr>
      <w:r>
        <w:rPr>
          <w:b/>
          <w:bCs/>
          <w:color w:val="198754"/>
          <w:sz w:val="24"/>
          <w:szCs w:val="24"/>
        </w:rPr>
        <w:t xml:space="preserve">📩 Versiunea completă poate fi achiziționată online, direct de pe edtaplant.ro — acces instantaneu după confirmarea plății.</w:t>
      </w:r>
    </w:p>
    <w:p>
      <w:pPr>
        <w:jc w:val="center"/>
      </w:pPr>
      <w:r>
        <w:rPr>
          <w:color w:val="5A6B60"/>
          <w:sz w:val="20"/>
          <w:szCs w:val="20"/>
        </w:rPr>
        <w:t xml:space="preserve">Consultanță · Nutriția plantelor 0729 857 947   ·   Suport tehnic 0723 595 983   ·   edtaplant.ro/contact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F26"/>
        <w:sz w:val="20"/>
        <w:szCs w:val="20"/>
      </w:rPr>
    </w:rPrDefault>
    <w:pPrDefault>
      <w:pPr>
        <w:spacing w:after="12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198754" w:sz="4"/>
      </w:pBdr>
      <w:spacing w:after="140" w:before="280"/>
    </w:pPr>
    <w:rPr>
      <w:b/>
      <w:bCs/>
      <w:color w:val="1F2F26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00"/>
    </w:pPr>
    <w:rPr>
      <w:b/>
      <w:bCs/>
      <w:color w:val="198754"/>
      <w:sz w:val="22"/>
      <w:szCs w:val="22"/>
    </w:rPr>
  </w:style>
  <w:style w:type="paragraph" w:styleId="Heading3">
    <w:name w:val="Heading 3"/>
    <w:basedOn w:val="Normal"/>
    <w:next w:val="Normal"/>
    <w:qFormat/>
    <w:pPr>
      <w:spacing w:after="60" w:before="140"/>
    </w:pPr>
    <w:rPr>
      <w:b/>
      <w:bCs/>
      <w:color w:val="0F5C3F"/>
      <w:sz w:val="19"/>
      <w:szCs w:val="19"/>
    </w:rPr>
  </w:style>
  <w:style w:type="paragraph" w:styleId="Normal">
    <w:name w:val="Normal"/>
    <w:pPr>
      <w:spacing w:after="80" w:line="276" w:lineRule="auto"/>
      <w:jc w:val="both"/>
    </w:pPr>
    <w:rPr>
      <w:rFonts w:ascii="Calibri" w:cs="Calibri" w:eastAsia="Calibri" w:hAnsi="Calibri"/>
      <w:color w:val="1F2F26"/>
      <w:sz w:val="18"/>
      <w:szCs w:val="18"/>
    </w:rPr>
  </w:style>
  <w:style w:type="paragraph" w:styleId="Caption">
    <w:name w:val="Caption"/>
    <w:basedOn w:val="Normal"/>
    <w:pPr>
      <w:spacing w:after="120" w:before="60"/>
      <w:jc w:val="center"/>
    </w:pPr>
    <w:rPr>
      <w:i/>
      <w:iCs/>
      <w:color w:val="5A6B60"/>
      <w:sz w:val="16"/>
      <w:szCs w:val="16"/>
    </w:rPr>
  </w:style>
  <w:style w:type="paragraph" w:styleId="TableHeader">
    <w:name w:val="Table Header"/>
    <w:basedOn w:val="Normal"/>
    <w:pPr>
      <w:spacing w:after="0"/>
    </w:pPr>
    <w:rPr>
      <w:b/>
      <w:bCs/>
      <w:color w:val="FFFFFF"/>
      <w:sz w:val="17"/>
      <w:szCs w:val="17"/>
    </w:rPr>
  </w:style>
  <w:style w:type="paragraph" w:styleId="TableCell">
    <w:name w:val="Table Cell"/>
    <w:basedOn w:val="Normal"/>
    <w:pPr>
      <w:spacing w:after="0"/>
    </w:pPr>
    <w:rPr>
      <w:color w:val="1F2F26"/>
      <w:sz w:val="17"/>
      <w:szCs w:val="17"/>
    </w:rPr>
  </w:style>
  <w:style w:type="paragraph" w:styleId="FooterText">
    <w:name w:val="Footer Text"/>
    <w:basedOn w:val="Normal"/>
    <w:pPr>
      <w:spacing w:after="0"/>
      <w:jc w:val="left"/>
    </w:pPr>
    <w:rPr>
      <w:color w:val="5A6B60"/>
      <w:sz w:val="15"/>
      <w:szCs w:val="15"/>
    </w:rPr>
  </w:style>
  <w:style w:type="paragraph" w:styleId="EditorialBox">
    <w:name w:val="Editorial Box"/>
    <w:basedOn w:val="Normal"/>
    <w:pPr>
      <w:pBdr>
        <w:left w:val="thick" w:color="198754" w:sz="12"/>
      </w:pBdr>
      <w:shd w:color="EEF5F0" w:val="solid"/>
      <w:spacing w:after="60" w:before="60"/>
      <w:ind w:left="340"/>
    </w:pPr>
    <w:rPr>
      <w:color w:val="1F2F26"/>
      <w:sz w:val="18"/>
      <w:szCs w:val="1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Ghid tehnic de analiză foliară — Țelină pentru pețiol soiul Utah</dc:title>
  <dc:subject>Țelină pentru pețiol soiul Utah</dc:subject>
  <dc:creator>EDTA Plant</dc:creator>
  <cp:keywords>EDTA Plant, edtaplant.ro</cp:keywords>
  <cp:lastModifiedBy>EDTA Plant</cp:lastModifiedBy>
  <cp:revision>1</cp:revision>
  <dcterms:created xsi:type="dcterms:W3CDTF">2026-10-21T02:33:12.033Z</dcterms:created>
  <dcterms:modified xsi:type="dcterms:W3CDTF">2026-10-21T02:33:12.033Z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