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 w:before="1200"/>
        <w:jc w:val="center"/>
      </w:pPr>
      <w:r>
        <w:rPr>
          <w:b/>
          <w:bCs/>
          <w:color w:val="198754"/>
          <w:sz w:val="56"/>
          <w:szCs w:val="56"/>
        </w:rPr>
        <w:t xml:space="preserve">EDTA Plant</w:t>
      </w:r>
    </w:p>
    <w:p>
      <w:pPr>
        <w:spacing w:after="120"/>
        <w:jc w:val="center"/>
      </w:pPr>
      <w:r>
        <w:rPr>
          <w:color w:val="5A6B60"/>
          <w:sz w:val="17"/>
          <w:szCs w:val="17"/>
        </w:rPr>
        <w:t xml:space="preserve">edtaplant.ro</w:t>
      </w:r>
    </w:p>
    <w:p>
      <w:pPr>
        <w:pBdr>
          <w:top w:val="single" w:color="198754" w:sz="6"/>
        </w:pBdr>
        <w:spacing w:after="60"/>
        <w:jc w:val="center"/>
      </w:pPr>
    </w:p>
    <w:p>
      <w:pPr>
        <w:spacing w:after="80" w:before="200"/>
        <w:jc w:val="center"/>
      </w:pPr>
      <w:r>
        <w:rPr>
          <w:b/>
          <w:bCs/>
          <w:color w:val="1F2F26"/>
          <w:sz w:val="44"/>
          <w:szCs w:val="44"/>
        </w:rPr>
        <w:t xml:space="preserve">Ghid tehnic de analiză foliară</w:t>
      </w:r>
    </w:p>
    <w:p>
      <w:pPr>
        <w:spacing w:after="60"/>
        <w:jc w:val="center"/>
      </w:pPr>
      <w:r>
        <w:rPr>
          <w:color w:val="0F5C3F"/>
          <w:sz w:val="30"/>
          <w:szCs w:val="30"/>
        </w:rPr>
        <w:t xml:space="preserve">Țelină pentru pețiol soiul Tango</w:t>
      </w:r>
    </w:p>
    <w:p>
      <w:pPr>
        <w:spacing w:after="80"/>
        <w:jc w:val="center"/>
      </w:pPr>
      <w:r>
        <w:rPr>
          <w:i/>
          <w:iCs/>
          <w:color w:val="5A6B60"/>
          <w:sz w:val="20"/>
          <w:szCs w:val="20"/>
        </w:rPr>
        <w:t xml:space="preserve">Apium graveolens var. dulce · Ediția 1 (Iulie 2026)</w:t>
      </w:r>
    </w:p>
    <w:p>
      <w:pPr>
        <w:spacing w:after="120" w:before="120"/>
        <w:jc w:val="center"/>
      </w:pPr>
      <w:r>
        <w:rPr>
          <w:b/>
          <w:bCs/>
          <w:color w:val="FFFFFF"/>
          <w:sz w:val="17"/>
          <w:szCs w:val="17"/>
          <w:shd w:color="B45309" w:val="solid"/>
        </w:rPr>
        <w:t xml:space="preserve">  Previzualizare — extras din documentul integral  </w:t>
      </w:r>
    </w:p>
    <w:tbl>
      <w:tblPr>
        <w:tblW w:type="pct" w:w="70%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40%"/>
            <w:tcBorders>
              <w:top w:val="single" w:color="D7E2DA" w:sz="4"/>
              <w:left w:val="single" w:color="D7E2DA" w:sz="4"/>
              <w:bottom w:val="single" w:color="D7E2DA" w:sz="4"/>
              <w:right w:val="single" w:color="D7E2DA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b/>
                <w:bCs/>
                <w:color w:val="5A6B60"/>
                <w:sz w:val="17"/>
                <w:szCs w:val="17"/>
              </w:rPr>
              <w:t xml:space="preserve">Generat</w:t>
            </w:r>
          </w:p>
        </w:tc>
        <w:tc>
          <w:tcPr>
            <w:tcBorders>
              <w:top w:val="single" w:color="D7E2DA" w:sz="4"/>
              <w:left w:val="single" w:color="D7E2DA" w:sz="4"/>
              <w:bottom w:val="single" w:color="D7E2DA" w:sz="4"/>
              <w:right w:val="single" w:color="D7E2DA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color w:val="1F2F26"/>
                <w:sz w:val="17"/>
                <w:szCs w:val="17"/>
              </w:rPr>
              <w:t xml:space="preserve">21 octombrie 2026</w:t>
            </w:r>
          </w:p>
        </w:tc>
      </w:tr>
      <w:tr>
        <w:tc>
          <w:tcPr>
            <w:tcW w:type="pct" w:w="40%"/>
            <w:tcBorders>
              <w:top w:val="single" w:color="D7E2DA" w:sz="4"/>
              <w:left w:val="single" w:color="D7E2DA" w:sz="4"/>
              <w:bottom w:val="single" w:color="D7E2DA" w:sz="4"/>
              <w:right w:val="single" w:color="D7E2DA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b/>
                <w:bCs/>
                <w:color w:val="5A6B60"/>
                <w:sz w:val="17"/>
                <w:szCs w:val="17"/>
              </w:rPr>
              <w:t xml:space="preserve">Sursă</w:t>
            </w:r>
          </w:p>
        </w:tc>
        <w:tc>
          <w:tcPr>
            <w:tcBorders>
              <w:top w:val="single" w:color="D7E2DA" w:sz="4"/>
              <w:left w:val="single" w:color="D7E2DA" w:sz="4"/>
              <w:bottom w:val="single" w:color="D7E2DA" w:sz="4"/>
              <w:right w:val="single" w:color="D7E2DA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color w:val="1F2F26"/>
                <w:sz w:val="17"/>
                <w:szCs w:val="17"/>
              </w:rPr>
              <w:t xml:space="preserve">Standardele partajate EDTA</w:t>
            </w:r>
          </w:p>
        </w:tc>
      </w:tr>
      <w:tr>
        <w:tc>
          <w:tcPr>
            <w:tcW w:type="pct" w:w="40%"/>
            <w:tcBorders>
              <w:top w:val="single" w:color="D7E2DA" w:sz="4"/>
              <w:left w:val="single" w:color="D7E2DA" w:sz="4"/>
              <w:bottom w:val="single" w:color="D7E2DA" w:sz="4"/>
              <w:right w:val="single" w:color="D7E2DA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b/>
                <w:bCs/>
                <w:color w:val="5A6B60"/>
                <w:sz w:val="17"/>
                <w:szCs w:val="17"/>
              </w:rPr>
              <w:t xml:space="preserve">Consultanță</w:t>
            </w:r>
          </w:p>
        </w:tc>
        <w:tc>
          <w:tcPr>
            <w:tcBorders>
              <w:top w:val="single" w:color="D7E2DA" w:sz="4"/>
              <w:left w:val="single" w:color="D7E2DA" w:sz="4"/>
              <w:bottom w:val="single" w:color="D7E2DA" w:sz="4"/>
              <w:right w:val="single" w:color="D7E2DA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color w:val="1F2F26"/>
                <w:sz w:val="17"/>
                <w:szCs w:val="17"/>
              </w:rPr>
              <w:t xml:space="preserve">Nutriția plantelor 0729 857 947</w:t>
            </w:r>
          </w:p>
        </w:tc>
      </w:tr>
      <w:tr>
        <w:tc>
          <w:tcPr>
            <w:tcW w:type="pct" w:w="40%"/>
            <w:tcBorders>
              <w:top w:val="single" w:color="D7E2DA" w:sz="4"/>
              <w:left w:val="single" w:color="D7E2DA" w:sz="4"/>
              <w:bottom w:val="single" w:color="D7E2DA" w:sz="4"/>
              <w:right w:val="single" w:color="D7E2DA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b/>
                <w:bCs/>
                <w:color w:val="5A6B60"/>
                <w:sz w:val="17"/>
                <w:szCs w:val="17"/>
              </w:rPr>
              <w:t xml:space="preserve">Suport tehnic</w:t>
            </w:r>
          </w:p>
        </w:tc>
        <w:tc>
          <w:tcPr>
            <w:tcBorders>
              <w:top w:val="single" w:color="D7E2DA" w:sz="4"/>
              <w:left w:val="single" w:color="D7E2DA" w:sz="4"/>
              <w:bottom w:val="single" w:color="D7E2DA" w:sz="4"/>
              <w:right w:val="single" w:color="D7E2DA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color w:val="1F2F26"/>
                <w:sz w:val="17"/>
                <w:szCs w:val="17"/>
              </w:rPr>
              <w:t xml:space="preserve">0723 595 983</w:t>
            </w:r>
          </w:p>
        </w:tc>
      </w:tr>
    </w:tbl>
    <w:p>
      <w:r>
        <w:br w:type="page"/>
      </w:r>
    </w:p>
    <w:p>
      <w:pPr>
        <w:pStyle w:val="Heading1"/>
      </w:pPr>
      <w:r>
        <w:t xml:space="preserve">Cuprins</w:t>
      </w:r>
    </w:p>
    <w:p>
      <w:pPr>
        <w:tabs>
          <w:tab w:val="right" w:pos="9070" w:leader="dot"/>
        </w:tabs>
        <w:spacing w:after="100"/>
      </w:pPr>
      <w:r>
        <w:rPr>
          <w:b/>
          <w:bCs/>
          <w:color w:val="0F5C3F"/>
          <w:sz w:val="19"/>
          <w:szCs w:val="19"/>
        </w:rPr>
        <w:t xml:space="preserve">1.  </w:t>
      </w:r>
      <w:r>
        <w:rPr>
          <w:color w:val="1F2F26"/>
          <w:sz w:val="19"/>
          <w:szCs w:val="19"/>
        </w:rPr>
        <w:t xml:space="preserve">Prezentarea soiului</w:t>
      </w:r>
    </w:p>
    <w:p>
      <w:pPr>
        <w:tabs>
          <w:tab w:val="right" w:pos="9070" w:leader="dot"/>
        </w:tabs>
        <w:spacing w:after="100"/>
      </w:pPr>
      <w:r>
        <w:rPr>
          <w:b/>
          <w:bCs/>
          <w:color w:val="0F5C3F"/>
          <w:sz w:val="19"/>
          <w:szCs w:val="19"/>
        </w:rPr>
        <w:t xml:space="preserve">2.  </w:t>
      </w:r>
      <w:r>
        <w:rPr>
          <w:color w:val="1F2F26"/>
          <w:sz w:val="19"/>
          <w:szCs w:val="19"/>
        </w:rPr>
        <w:t xml:space="preserve">Galerie foto</w:t>
      </w:r>
    </w:p>
    <w:p>
      <w:pPr>
        <w:tabs>
          <w:tab w:val="right" w:pos="9070" w:leader="dot"/>
        </w:tabs>
        <w:spacing w:after="100"/>
      </w:pPr>
      <w:r>
        <w:rPr>
          <w:b/>
          <w:bCs/>
          <w:color w:val="0F5C3F"/>
          <w:sz w:val="19"/>
          <w:szCs w:val="19"/>
        </w:rPr>
        <w:t xml:space="preserve">3.  </w:t>
      </w:r>
      <w:r>
        <w:rPr>
          <w:color w:val="1F2F26"/>
          <w:sz w:val="19"/>
          <w:szCs w:val="19"/>
        </w:rPr>
        <w:t xml:space="preserve">Descriere agronomică</w:t>
      </w:r>
    </w:p>
    <w:p>
      <w:pPr>
        <w:tabs>
          <w:tab w:val="right" w:pos="9070" w:leader="dot"/>
        </w:tabs>
        <w:spacing w:after="100"/>
      </w:pPr>
      <w:r>
        <w:rPr>
          <w:b/>
          <w:bCs/>
          <w:color w:val="0F5C3F"/>
          <w:sz w:val="19"/>
          <w:szCs w:val="19"/>
        </w:rPr>
        <w:t xml:space="preserve">4.  </w:t>
      </w:r>
      <w:r>
        <w:rPr>
          <w:color w:val="1F2F26"/>
          <w:sz w:val="19"/>
          <w:szCs w:val="19"/>
        </w:rPr>
        <w:t xml:space="preserve">Recomandări tehnologice</w:t>
      </w:r>
    </w:p>
    <w:p>
      <w:pPr>
        <w:tabs>
          <w:tab w:val="right" w:pos="9070" w:leader="dot"/>
        </w:tabs>
        <w:spacing w:after="100"/>
      </w:pPr>
      <w:r>
        <w:rPr>
          <w:b/>
          <w:bCs/>
          <w:color w:val="0F5C3F"/>
          <w:sz w:val="19"/>
          <w:szCs w:val="19"/>
        </w:rPr>
        <w:t xml:space="preserve">5.  </w:t>
      </w:r>
      <w:r>
        <w:rPr>
          <w:color w:val="1F2F26"/>
          <w:sz w:val="19"/>
          <w:szCs w:val="19"/>
        </w:rPr>
        <w:t xml:space="preserve">Protocol de prelevare a probelor</w:t>
      </w:r>
    </w:p>
    <w:p>
      <w:pPr>
        <w:tabs>
          <w:tab w:val="right" w:pos="9070" w:leader="dot"/>
        </w:tabs>
        <w:spacing w:after="100"/>
      </w:pPr>
      <w:r>
        <w:rPr>
          <w:b/>
          <w:bCs/>
          <w:color w:val="0F5C3F"/>
          <w:sz w:val="19"/>
          <w:szCs w:val="19"/>
        </w:rPr>
        <w:t xml:space="preserve">6.  </w:t>
      </w:r>
      <w:r>
        <w:rPr>
          <w:color w:val="1F2F26"/>
          <w:sz w:val="19"/>
          <w:szCs w:val="19"/>
        </w:rPr>
        <w:t xml:space="preserve">Fenofaze de referință (scala BBCH)</w:t>
      </w:r>
    </w:p>
    <w:p>
      <w:pPr>
        <w:tabs>
          <w:tab w:val="right" w:pos="9070" w:leader="dot"/>
        </w:tabs>
        <w:spacing w:after="100"/>
      </w:pPr>
      <w:r>
        <w:rPr>
          <w:b/>
          <w:bCs/>
          <w:color w:val="0F5C3F"/>
          <w:sz w:val="19"/>
          <w:szCs w:val="19"/>
        </w:rPr>
        <w:t xml:space="preserve">7.  </w:t>
      </w:r>
      <w:r>
        <w:rPr>
          <w:color w:val="1F2F26"/>
          <w:sz w:val="19"/>
          <w:szCs w:val="19"/>
        </w:rPr>
        <w:t xml:space="preserve">Valori orientative — referințe agronomice ale speciei</w:t>
      </w:r>
    </w:p>
    <w:p>
      <w:pPr>
        <w:tabs>
          <w:tab w:val="right" w:pos="9070" w:leader="dot"/>
        </w:tabs>
        <w:spacing w:after="100"/>
      </w:pPr>
      <w:r>
        <w:rPr>
          <w:b/>
          <w:bCs/>
          <w:color w:val="0F5C3F"/>
          <w:sz w:val="19"/>
          <w:szCs w:val="19"/>
        </w:rPr>
        <w:t xml:space="preserve">8.  </w:t>
      </w:r>
      <w:r>
        <w:rPr>
          <w:color w:val="1F2F26"/>
          <w:sz w:val="19"/>
          <w:szCs w:val="19"/>
        </w:rPr>
        <w:t xml:space="preserve">Simptome de carență, exces și impact asupra producției</w:t>
      </w:r>
    </w:p>
    <w:p>
      <w:pPr>
        <w:tabs>
          <w:tab w:val="right" w:pos="9070" w:leader="dot"/>
        </w:tabs>
        <w:spacing w:after="100"/>
      </w:pPr>
      <w:r>
        <w:rPr>
          <w:b/>
          <w:bCs/>
          <w:color w:val="0F5C3F"/>
          <w:sz w:val="19"/>
          <w:szCs w:val="19"/>
        </w:rPr>
        <w:t xml:space="preserve">9.  </w:t>
      </w:r>
      <w:r>
        <w:rPr>
          <w:color w:val="1F2F26"/>
          <w:sz w:val="19"/>
          <w:szCs w:val="19"/>
        </w:rPr>
        <w:t xml:space="preserve">Întrebări frecvente despre soiul Tango</w:t>
      </w:r>
    </w:p>
    <w:p>
      <w:pPr>
        <w:tabs>
          <w:tab w:val="right" w:pos="9070" w:leader="dot"/>
        </w:tabs>
        <w:spacing w:after="100"/>
      </w:pPr>
      <w:r>
        <w:rPr>
          <w:b/>
          <w:bCs/>
          <w:color w:val="0F5C3F"/>
          <w:sz w:val="19"/>
          <w:szCs w:val="19"/>
        </w:rPr>
        <w:t xml:space="preserve">10.  </w:t>
      </w:r>
      <w:r>
        <w:rPr>
          <w:color w:val="1F2F26"/>
          <w:sz w:val="19"/>
          <w:szCs w:val="19"/>
        </w:rPr>
        <w:t xml:space="preserve">Surse &amp; referințe</w:t>
      </w:r>
    </w:p>
    <w:p>
      <w:pPr>
        <w:tabs>
          <w:tab w:val="right" w:pos="9070" w:leader="dot"/>
        </w:tabs>
        <w:spacing w:after="100"/>
      </w:pPr>
      <w:r>
        <w:rPr>
          <w:b/>
          <w:bCs/>
          <w:color w:val="0F5C3F"/>
          <w:sz w:val="19"/>
          <w:szCs w:val="19"/>
        </w:rPr>
        <w:t xml:space="preserve">11.  </w:t>
      </w:r>
      <w:r>
        <w:rPr>
          <w:color w:val="1F2F26"/>
          <w:sz w:val="19"/>
          <w:szCs w:val="19"/>
        </w:rPr>
        <w:t xml:space="preserve">Istoric versiuni</w:t>
      </w:r>
    </w:p>
    <w:p>
      <w:r>
        <w:br w:type="page"/>
      </w:r>
    </w:p>
    <w:p>
      <w:pPr>
        <w:pStyle w:val="Heading1"/>
        <w:spacing w:after="160" w:before="320"/>
      </w:pPr>
      <w:r>
        <w:rPr>
          <w:b/>
          <w:bCs/>
          <w:color w:val="1F2F26"/>
          <w:sz w:val="28"/>
          <w:szCs w:val="28"/>
        </w:rPr>
        <w:t xml:space="preserve">Prezentarea soiului</w:t>
      </w:r>
    </w:p>
    <w:p>
      <w:pPr>
        <w:spacing w:after="60"/>
      </w:pPr>
      <w:r>
        <w:rPr>
          <w:b/>
          <w:bCs/>
          <w:color w:val="5A6B60"/>
          <w:sz w:val="20"/>
          <w:szCs w:val="20"/>
        </w:rPr>
        <w:t xml:space="preserve">Cultura: </w:t>
      </w:r>
      <w:r>
        <w:rPr>
          <w:color w:val="1F2F26"/>
          <w:sz w:val="20"/>
          <w:szCs w:val="20"/>
        </w:rPr>
        <w:t xml:space="preserve">Țelină pentru pețiol (Apium graveolens var. dulce)</w:t>
      </w:r>
    </w:p>
    <w:p>
      <w:pPr>
        <w:spacing w:after="60"/>
      </w:pPr>
      <w:r>
        <w:rPr>
          <w:b/>
          <w:bCs/>
          <w:color w:val="5A6B60"/>
          <w:sz w:val="20"/>
          <w:szCs w:val="20"/>
        </w:rPr>
        <w:t xml:space="preserve">Soiul: </w:t>
      </w:r>
      <w:r>
        <w:rPr>
          <w:color w:val="1F2F26"/>
          <w:sz w:val="20"/>
          <w:szCs w:val="20"/>
        </w:rPr>
        <w:t xml:space="preserve">Tango</w:t>
      </w:r>
    </w:p>
    <w:p>
      <w:pPr>
        <w:spacing w:after="60"/>
      </w:pPr>
      <w:r>
        <w:rPr>
          <w:b/>
          <w:bCs/>
          <w:color w:val="5A6B60"/>
          <w:sz w:val="20"/>
          <w:szCs w:val="20"/>
        </w:rPr>
        <w:t xml:space="preserve">Origine: </w:t>
      </w:r>
      <w:r>
        <w:rPr>
          <w:color w:val="1F2F26"/>
          <w:sz w:val="20"/>
          <w:szCs w:val="20"/>
        </w:rPr>
        <w:t xml:space="preserve">Europa (selecție modernă)</w:t>
      </w:r>
    </w:p>
    <w:p>
      <w:pPr>
        <w:spacing w:after="60"/>
      </w:pPr>
      <w:r>
        <w:rPr>
          <w:b/>
          <w:bCs/>
          <w:color w:val="5A6B60"/>
          <w:sz w:val="20"/>
          <w:szCs w:val="20"/>
        </w:rPr>
        <w:t xml:space="preserve">Caracterizare scurtă: </w:t>
      </w:r>
      <w:r>
        <w:rPr>
          <w:color w:val="1F2F26"/>
          <w:sz w:val="20"/>
          <w:szCs w:val="20"/>
        </w:rPr>
        <w:t xml:space="preserve">Soi de țelină pentru pețiol, pețioli fragezi</w:t>
      </w:r>
    </w:p>
    <w:p>
      <w:pPr>
        <w:spacing w:after="120"/>
      </w:pPr>
      <w:r>
        <w:rPr>
          <w:color w:val="1F2F26"/>
          <w:sz w:val="20"/>
          <w:szCs w:val="20"/>
        </w:rPr>
        <w:t xml:space="preserve">Tango este un soi apreciat de țelină pentru pețiol, cu pețioli lungi, cărnoși și fragezi, cu ațe reduse. Are creștere viguroasă și port erect, ceea ce ușurează recoltarea, și oferă o aromă echilibrată, potrivită pentru consum proaspăt și pentru gătit.</w:t>
      </w:r>
    </w:p>
    <w:p>
      <w:pPr>
        <w:pStyle w:val="Heading2"/>
        <w:spacing w:after="100" w:before="200"/>
      </w:pPr>
      <w:r>
        <w:rPr>
          <w:b/>
          <w:bCs/>
          <w:color w:val="198754"/>
          <w:sz w:val="22"/>
          <w:szCs w:val="22"/>
        </w:rPr>
        <w:t xml:space="preserve">Caracteristici principale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1F2F26"/>
          <w:sz w:val="20"/>
          <w:szCs w:val="20"/>
        </w:rPr>
        <w:t xml:space="preserve">Pețioli lungi, cărnoși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1F2F26"/>
          <w:sz w:val="20"/>
          <w:szCs w:val="20"/>
        </w:rPr>
        <w:t xml:space="preserve">Ațe reduse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1F2F26"/>
          <w:sz w:val="20"/>
          <w:szCs w:val="20"/>
        </w:rPr>
        <w:t xml:space="preserve">Port erect, viguros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1F2F26"/>
          <w:sz w:val="20"/>
          <w:szCs w:val="20"/>
        </w:rPr>
        <w:t xml:space="preserve">Aromă echilibrată</w:t>
      </w:r>
    </w:p>
    <w:p>
      <w:pPr>
        <w:pStyle w:val="Heading1"/>
        <w:spacing w:after="160" w:before="320"/>
      </w:pPr>
      <w:r>
        <w:rPr>
          <w:b/>
          <w:bCs/>
          <w:color w:val="1F2F26"/>
          <w:sz w:val="28"/>
          <w:szCs w:val="28"/>
        </w:rPr>
        <w:t xml:space="preserve">Galerie foto</w:t>
      </w:r>
    </w:p>
    <w:p>
      <w:r>
        <w:br w:type="page"/>
      </w:r>
    </w:p>
    <w:p>
      <w:pPr>
        <w:spacing w:after="240" w:before="1800"/>
        <w:jc w:val="center"/>
      </w:pPr>
      <w:r>
        <w:rPr>
          <w:sz w:val="72"/>
          <w:szCs w:val="72"/>
        </w:rPr>
        <w:t xml:space="preserve">🔒</w:t>
      </w:r>
    </w:p>
    <w:p>
      <w:pPr>
        <w:spacing w:after="240"/>
        <w:jc w:val="center"/>
      </w:pPr>
      <w:r>
        <w:rPr>
          <w:b/>
          <w:bCs/>
          <w:color w:val="1F2F26"/>
          <w:sz w:val="30"/>
          <w:szCs w:val="30"/>
        </w:rPr>
        <w:t xml:space="preserve">Accesul complet la acest document este disponibil doar în varianta integrală.</w:t>
      </w:r>
    </w:p>
    <w:p>
      <w:pPr>
        <w:spacing w:after="240"/>
        <w:jc w:val="center"/>
      </w:pPr>
      <w:r>
        <w:rPr>
          <w:color w:val="5A6B60"/>
          <w:sz w:val="22"/>
          <w:szCs w:val="22"/>
        </w:rPr>
        <w:t xml:space="preserve">Acesta reprezintă un material tehnic profesional elaborat de echipa EDTA Plant și conține informații complete privind metodologia, interpretarea rezultatelor, recomandările tehnice și valorile de referință.</w:t>
      </w:r>
    </w:p>
    <w:p>
      <w:pPr>
        <w:spacing w:after="360"/>
        <w:jc w:val="center"/>
      </w:pPr>
      <w:r>
        <w:rPr>
          <w:b/>
          <w:bCs/>
          <w:color w:val="198754"/>
          <w:sz w:val="24"/>
          <w:szCs w:val="24"/>
        </w:rPr>
        <w:t xml:space="preserve">📩 Versiunea completă poate fi achiziționată online, direct de pe edtaplant.ro — acces instantaneu după confirmarea plății.</w:t>
      </w:r>
    </w:p>
    <w:p>
      <w:pPr>
        <w:jc w:val="center"/>
      </w:pPr>
      <w:r>
        <w:rPr>
          <w:color w:val="5A6B60"/>
          <w:sz w:val="20"/>
          <w:szCs w:val="20"/>
        </w:rPr>
        <w:t xml:space="preserve">Consultanță · Nutriția plantelor 0729 857 947   ·   Suport tehnic 0723 595 983   ·   edtaplant.ro/contact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F26"/>
        <w:sz w:val="20"/>
        <w:szCs w:val="20"/>
      </w:rPr>
    </w:rPrDefault>
    <w:pPrDefault>
      <w:pPr>
        <w:spacing w:after="120" w:line="276" w:lineRule="auto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pBdr>
        <w:bottom w:val="single" w:color="198754" w:sz="4"/>
      </w:pBdr>
      <w:spacing w:after="140" w:before="280"/>
    </w:pPr>
    <w:rPr>
      <w:b/>
      <w:bCs/>
      <w:color w:val="1F2F26"/>
      <w:sz w:val="28"/>
      <w:szCs w:val="28"/>
    </w:rPr>
  </w:style>
  <w:style w:type="paragraph" w:styleId="Heading2">
    <w:name w:val="Heading 2"/>
    <w:basedOn w:val="Normal"/>
    <w:next w:val="Normal"/>
    <w:qFormat/>
    <w:pPr>
      <w:spacing w:after="100" w:before="200"/>
    </w:pPr>
    <w:rPr>
      <w:b/>
      <w:bCs/>
      <w:color w:val="198754"/>
      <w:sz w:val="22"/>
      <w:szCs w:val="22"/>
    </w:rPr>
  </w:style>
  <w:style w:type="paragraph" w:styleId="Heading3">
    <w:name w:val="Heading 3"/>
    <w:basedOn w:val="Normal"/>
    <w:next w:val="Normal"/>
    <w:qFormat/>
    <w:pPr>
      <w:spacing w:after="60" w:before="140"/>
    </w:pPr>
    <w:rPr>
      <w:b/>
      <w:bCs/>
      <w:color w:val="0F5C3F"/>
      <w:sz w:val="19"/>
      <w:szCs w:val="19"/>
    </w:rPr>
  </w:style>
  <w:style w:type="paragraph" w:styleId="Normal">
    <w:name w:val="Normal"/>
    <w:pPr>
      <w:spacing w:after="80" w:line="276" w:lineRule="auto"/>
      <w:jc w:val="both"/>
    </w:pPr>
    <w:rPr>
      <w:rFonts w:ascii="Calibri" w:cs="Calibri" w:eastAsia="Calibri" w:hAnsi="Calibri"/>
      <w:color w:val="1F2F26"/>
      <w:sz w:val="18"/>
      <w:szCs w:val="18"/>
    </w:rPr>
  </w:style>
  <w:style w:type="paragraph" w:styleId="Caption">
    <w:name w:val="Caption"/>
    <w:basedOn w:val="Normal"/>
    <w:pPr>
      <w:spacing w:after="120" w:before="60"/>
      <w:jc w:val="center"/>
    </w:pPr>
    <w:rPr>
      <w:i/>
      <w:iCs/>
      <w:color w:val="5A6B60"/>
      <w:sz w:val="16"/>
      <w:szCs w:val="16"/>
    </w:rPr>
  </w:style>
  <w:style w:type="paragraph" w:styleId="TableHeader">
    <w:name w:val="Table Header"/>
    <w:basedOn w:val="Normal"/>
    <w:pPr>
      <w:spacing w:after="0"/>
    </w:pPr>
    <w:rPr>
      <w:b/>
      <w:bCs/>
      <w:color w:val="FFFFFF"/>
      <w:sz w:val="17"/>
      <w:szCs w:val="17"/>
    </w:rPr>
  </w:style>
  <w:style w:type="paragraph" w:styleId="TableCell">
    <w:name w:val="Table Cell"/>
    <w:basedOn w:val="Normal"/>
    <w:pPr>
      <w:spacing w:after="0"/>
    </w:pPr>
    <w:rPr>
      <w:color w:val="1F2F26"/>
      <w:sz w:val="17"/>
      <w:szCs w:val="17"/>
    </w:rPr>
  </w:style>
  <w:style w:type="paragraph" w:styleId="FooterText">
    <w:name w:val="Footer Text"/>
    <w:basedOn w:val="Normal"/>
    <w:pPr>
      <w:spacing w:after="0"/>
      <w:jc w:val="left"/>
    </w:pPr>
    <w:rPr>
      <w:color w:val="5A6B60"/>
      <w:sz w:val="15"/>
      <w:szCs w:val="15"/>
    </w:rPr>
  </w:style>
  <w:style w:type="paragraph" w:styleId="EditorialBox">
    <w:name w:val="Editorial Box"/>
    <w:basedOn w:val="Normal"/>
    <w:pPr>
      <w:pBdr>
        <w:left w:val="thick" w:color="198754" w:sz="12"/>
      </w:pBdr>
      <w:shd w:color="EEF5F0" w:val="solid"/>
      <w:spacing w:after="60" w:before="60"/>
      <w:ind w:left="340"/>
    </w:pPr>
    <w:rPr>
      <w:color w:val="1F2F26"/>
      <w:sz w:val="18"/>
      <w:szCs w:val="18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Ghid tehnic de analiză foliară — Țelină pentru pețiol soiul Tango</dc:title>
  <dc:subject>Țelină pentru pețiol soiul Tango</dc:subject>
  <dc:creator>EDTA Plant</dc:creator>
  <cp:keywords>EDTA Plant, edtaplant.ro</cp:keywords>
  <cp:lastModifiedBy>EDTA Plant</cp:lastModifiedBy>
  <cp:revision>1</cp:revision>
  <dcterms:created xsi:type="dcterms:W3CDTF">2026-10-21T02:39:02.956Z</dcterms:created>
  <dcterms:modified xsi:type="dcterms:W3CDTF">2026-10-21T02:39:02.956Z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