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jc w:val="center"/>
      </w:pPr>
      <w:r>
        <w:rPr>
          <w:b/>
          <w:bCs/>
          <w:color w:val="198754"/>
          <w:sz w:val="56"/>
          <w:szCs w:val="56"/>
        </w:rPr>
        <w:t xml:space="preserve">EDTA Plant</w:t>
      </w:r>
    </w:p>
    <w:p>
      <w:pPr>
        <w:spacing w:after="120"/>
        <w:jc w:val="center"/>
      </w:pPr>
      <w:r>
        <w:rPr>
          <w:color w:val="5A6B60"/>
          <w:sz w:val="17"/>
          <w:szCs w:val="17"/>
        </w:rPr>
        <w:t xml:space="preserve">edtaplant.ro</w:t>
      </w:r>
    </w:p>
    <w:p>
      <w:pPr>
        <w:pBdr>
          <w:top w:val="single" w:color="198754" w:sz="6"/>
        </w:pBdr>
        <w:spacing w:after="60"/>
        <w:jc w:val="center"/>
      </w:pPr>
    </w:p>
    <w:p>
      <w:pPr>
        <w:spacing w:after="80" w:before="200"/>
        <w:jc w:val="center"/>
      </w:pPr>
      <w:r>
        <w:rPr>
          <w:b/>
          <w:bCs/>
          <w:color w:val="1F2F26"/>
          <w:sz w:val="44"/>
          <w:szCs w:val="44"/>
        </w:rPr>
        <w:t xml:space="preserve">Ghid tehnic de analiză foliară</w:t>
      </w:r>
    </w:p>
    <w:p>
      <w:pPr>
        <w:spacing w:after="60"/>
        <w:jc w:val="center"/>
      </w:pPr>
      <w:r>
        <w:rPr>
          <w:color w:val="0F5C3F"/>
          <w:sz w:val="30"/>
          <w:szCs w:val="30"/>
        </w:rPr>
        <w:t xml:space="preserve">Țelină de rădăcină soiul Praga</w:t>
      </w:r>
    </w:p>
    <w:p>
      <w:pPr>
        <w:spacing w:after="80"/>
        <w:jc w:val="center"/>
      </w:pPr>
      <w:r>
        <w:rPr>
          <w:i/>
          <w:iCs/>
          <w:color w:val="5A6B60"/>
          <w:sz w:val="20"/>
          <w:szCs w:val="20"/>
        </w:rPr>
        <w:t xml:space="preserve">Apium graveolens var. rapaceum · Ediția 1 (Iulie 2026)</w:t>
      </w:r>
    </w:p>
    <w:p>
      <w:pPr>
        <w:spacing w:after="120" w:before="120"/>
        <w:jc w:val="center"/>
      </w:pPr>
      <w:r>
        <w:rPr>
          <w:b/>
          <w:bCs/>
          <w:color w:val="FFFFFF"/>
          <w:sz w:val="17"/>
          <w:szCs w:val="17"/>
          <w:shd w:color="B45309" w:val="solid"/>
        </w:rPr>
        <w:t xml:space="preserve">  Previzualizare — extras din documentul integral  </w:t>
      </w:r>
    </w:p>
    <w:tbl>
      <w:tblPr>
        <w:tblW w:type="pct" w:w="7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Generat</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21 octombrie 2026</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Sursă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Standardele partajate EDTA</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Consultanță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Nutriția plantelor 0729 857 947</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Suport tehnic</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0723 595 983</w:t>
            </w:r>
          </w:p>
        </w:tc>
      </w:tr>
    </w:tbl>
    <w:p>
      <w:r>
        <w:br w:type="page"/>
      </w:r>
    </w:p>
    <w:p>
      <w:pPr>
        <w:pStyle w:val="Heading1"/>
      </w:pPr>
      <w:r>
        <w:t xml:space="preserve">Cuprins</w:t>
      </w:r>
    </w:p>
    <w:p>
      <w:pPr>
        <w:tabs>
          <w:tab w:val="right" w:pos="9070" w:leader="dot"/>
        </w:tabs>
        <w:spacing w:after="100"/>
      </w:pPr>
      <w:r>
        <w:rPr>
          <w:b/>
          <w:bCs/>
          <w:color w:val="0F5C3F"/>
          <w:sz w:val="19"/>
          <w:szCs w:val="19"/>
        </w:rPr>
        <w:t xml:space="preserve">1.  </w:t>
      </w:r>
      <w:r>
        <w:rPr>
          <w:color w:val="1F2F26"/>
          <w:sz w:val="19"/>
          <w:szCs w:val="19"/>
        </w:rPr>
        <w:t xml:space="preserve">Prezentarea soiului</w:t>
      </w:r>
    </w:p>
    <w:p>
      <w:pPr>
        <w:tabs>
          <w:tab w:val="right" w:pos="9070" w:leader="dot"/>
        </w:tabs>
        <w:spacing w:after="100"/>
      </w:pPr>
      <w:r>
        <w:rPr>
          <w:b/>
          <w:bCs/>
          <w:color w:val="0F5C3F"/>
          <w:sz w:val="19"/>
          <w:szCs w:val="19"/>
        </w:rPr>
        <w:t xml:space="preserve">2.  </w:t>
      </w:r>
      <w:r>
        <w:rPr>
          <w:color w:val="1F2F26"/>
          <w:sz w:val="19"/>
          <w:szCs w:val="19"/>
        </w:rPr>
        <w:t xml:space="preserve">Galerie foto</w:t>
      </w:r>
    </w:p>
    <w:p>
      <w:pPr>
        <w:tabs>
          <w:tab w:val="right" w:pos="9070" w:leader="dot"/>
        </w:tabs>
        <w:spacing w:after="100"/>
      </w:pPr>
      <w:r>
        <w:rPr>
          <w:b/>
          <w:bCs/>
          <w:color w:val="0F5C3F"/>
          <w:sz w:val="19"/>
          <w:szCs w:val="19"/>
        </w:rPr>
        <w:t xml:space="preserve">3.  </w:t>
      </w:r>
      <w:r>
        <w:rPr>
          <w:color w:val="1F2F26"/>
          <w:sz w:val="19"/>
          <w:szCs w:val="19"/>
        </w:rPr>
        <w:t xml:space="preserve">Descriere agronomică</w:t>
      </w:r>
    </w:p>
    <w:p>
      <w:pPr>
        <w:tabs>
          <w:tab w:val="right" w:pos="9070" w:leader="dot"/>
        </w:tabs>
        <w:spacing w:after="100"/>
      </w:pPr>
      <w:r>
        <w:rPr>
          <w:b/>
          <w:bCs/>
          <w:color w:val="0F5C3F"/>
          <w:sz w:val="19"/>
          <w:szCs w:val="19"/>
        </w:rPr>
        <w:t xml:space="preserve">4.  </w:t>
      </w:r>
      <w:r>
        <w:rPr>
          <w:color w:val="1F2F26"/>
          <w:sz w:val="19"/>
          <w:szCs w:val="19"/>
        </w:rPr>
        <w:t xml:space="preserve">Recomandări tehnologice</w:t>
      </w:r>
    </w:p>
    <w:p>
      <w:pPr>
        <w:tabs>
          <w:tab w:val="right" w:pos="9070" w:leader="dot"/>
        </w:tabs>
        <w:spacing w:after="100"/>
      </w:pPr>
      <w:r>
        <w:rPr>
          <w:b/>
          <w:bCs/>
          <w:color w:val="0F5C3F"/>
          <w:sz w:val="19"/>
          <w:szCs w:val="19"/>
        </w:rPr>
        <w:t xml:space="preserve">5.  </w:t>
      </w:r>
      <w:r>
        <w:rPr>
          <w:color w:val="1F2F26"/>
          <w:sz w:val="19"/>
          <w:szCs w:val="19"/>
        </w:rPr>
        <w:t xml:space="preserve">Protocol de prelevare a probelor</w:t>
      </w:r>
    </w:p>
    <w:p>
      <w:pPr>
        <w:tabs>
          <w:tab w:val="right" w:pos="9070" w:leader="dot"/>
        </w:tabs>
        <w:spacing w:after="100"/>
      </w:pPr>
      <w:r>
        <w:rPr>
          <w:b/>
          <w:bCs/>
          <w:color w:val="0F5C3F"/>
          <w:sz w:val="19"/>
          <w:szCs w:val="19"/>
        </w:rPr>
        <w:t xml:space="preserve">6.  </w:t>
      </w:r>
      <w:r>
        <w:rPr>
          <w:color w:val="1F2F26"/>
          <w:sz w:val="19"/>
          <w:szCs w:val="19"/>
        </w:rPr>
        <w:t xml:space="preserve">Fenofaze de referință (scala BBCH)</w:t>
      </w:r>
    </w:p>
    <w:p>
      <w:pPr>
        <w:tabs>
          <w:tab w:val="right" w:pos="9070" w:leader="dot"/>
        </w:tabs>
        <w:spacing w:after="100"/>
      </w:pPr>
      <w:r>
        <w:rPr>
          <w:b/>
          <w:bCs/>
          <w:color w:val="0F5C3F"/>
          <w:sz w:val="19"/>
          <w:szCs w:val="19"/>
        </w:rPr>
        <w:t xml:space="preserve">7.  </w:t>
      </w:r>
      <w:r>
        <w:rPr>
          <w:color w:val="1F2F26"/>
          <w:sz w:val="19"/>
          <w:szCs w:val="19"/>
        </w:rPr>
        <w:t xml:space="preserve">Valori orientative — referințe agronomice ale speciei</w:t>
      </w:r>
    </w:p>
    <w:p>
      <w:pPr>
        <w:tabs>
          <w:tab w:val="right" w:pos="9070" w:leader="dot"/>
        </w:tabs>
        <w:spacing w:after="100"/>
      </w:pPr>
      <w:r>
        <w:rPr>
          <w:b/>
          <w:bCs/>
          <w:color w:val="0F5C3F"/>
          <w:sz w:val="19"/>
          <w:szCs w:val="19"/>
        </w:rPr>
        <w:t xml:space="preserve">8.  </w:t>
      </w:r>
      <w:r>
        <w:rPr>
          <w:color w:val="1F2F26"/>
          <w:sz w:val="19"/>
          <w:szCs w:val="19"/>
        </w:rPr>
        <w:t xml:space="preserve">Simptome de carență, exces și impact asupra producției</w:t>
      </w:r>
    </w:p>
    <w:p>
      <w:pPr>
        <w:tabs>
          <w:tab w:val="right" w:pos="9070" w:leader="dot"/>
        </w:tabs>
        <w:spacing w:after="100"/>
      </w:pPr>
      <w:r>
        <w:rPr>
          <w:b/>
          <w:bCs/>
          <w:color w:val="0F5C3F"/>
          <w:sz w:val="19"/>
          <w:szCs w:val="19"/>
        </w:rPr>
        <w:t xml:space="preserve">9.  </w:t>
      </w:r>
      <w:r>
        <w:rPr>
          <w:color w:val="1F2F26"/>
          <w:sz w:val="19"/>
          <w:szCs w:val="19"/>
        </w:rPr>
        <w:t xml:space="preserve">Întrebări frecvente despre soiul Praga</w:t>
      </w:r>
    </w:p>
    <w:p>
      <w:pPr>
        <w:tabs>
          <w:tab w:val="right" w:pos="9070" w:leader="dot"/>
        </w:tabs>
        <w:spacing w:after="100"/>
      </w:pPr>
      <w:r>
        <w:rPr>
          <w:b/>
          <w:bCs/>
          <w:color w:val="0F5C3F"/>
          <w:sz w:val="19"/>
          <w:szCs w:val="19"/>
        </w:rPr>
        <w:t xml:space="preserve">10.  </w:t>
      </w:r>
      <w:r>
        <w:rPr>
          <w:color w:val="1F2F26"/>
          <w:sz w:val="19"/>
          <w:szCs w:val="19"/>
        </w:rPr>
        <w:t xml:space="preserve">Surse &amp; referințe</w:t>
      </w:r>
    </w:p>
    <w:p>
      <w:pPr>
        <w:tabs>
          <w:tab w:val="right" w:pos="9070" w:leader="dot"/>
        </w:tabs>
        <w:spacing w:after="100"/>
      </w:pPr>
      <w:r>
        <w:rPr>
          <w:b/>
          <w:bCs/>
          <w:color w:val="0F5C3F"/>
          <w:sz w:val="19"/>
          <w:szCs w:val="19"/>
        </w:rPr>
        <w:t xml:space="preserve">11.  </w:t>
      </w:r>
      <w:r>
        <w:rPr>
          <w:color w:val="1F2F26"/>
          <w:sz w:val="19"/>
          <w:szCs w:val="19"/>
        </w:rPr>
        <w:t xml:space="preserve">Istoric versiuni</w:t>
      </w:r>
    </w:p>
    <w:p>
      <w:r>
        <w:br w:type="page"/>
      </w:r>
    </w:p>
    <w:p>
      <w:pPr>
        <w:pStyle w:val="Heading1"/>
        <w:spacing w:after="160" w:before="320"/>
      </w:pPr>
      <w:r>
        <w:rPr>
          <w:b/>
          <w:bCs/>
          <w:color w:val="1F2F26"/>
          <w:sz w:val="28"/>
          <w:szCs w:val="28"/>
        </w:rPr>
        <w:t xml:space="preserve">Prezentarea soiului</w:t>
      </w:r>
    </w:p>
    <w:p>
      <w:pPr>
        <w:spacing w:after="60"/>
      </w:pPr>
      <w:r>
        <w:rPr>
          <w:b/>
          <w:bCs/>
          <w:color w:val="5A6B60"/>
          <w:sz w:val="20"/>
          <w:szCs w:val="20"/>
        </w:rPr>
        <w:t xml:space="preserve">Cultura: </w:t>
      </w:r>
      <w:r>
        <w:rPr>
          <w:color w:val="1F2F26"/>
          <w:sz w:val="20"/>
          <w:szCs w:val="20"/>
        </w:rPr>
        <w:t xml:space="preserve">Țelină de rădăcină (Apium graveolens var. rapaceum)</w:t>
      </w:r>
    </w:p>
    <w:p>
      <w:pPr>
        <w:spacing w:after="60"/>
      </w:pPr>
      <w:r>
        <w:rPr>
          <w:b/>
          <w:bCs/>
          <w:color w:val="5A6B60"/>
          <w:sz w:val="20"/>
          <w:szCs w:val="20"/>
        </w:rPr>
        <w:t xml:space="preserve">Soiul: </w:t>
      </w:r>
      <w:r>
        <w:rPr>
          <w:color w:val="1F2F26"/>
          <w:sz w:val="20"/>
          <w:szCs w:val="20"/>
        </w:rPr>
        <w:t xml:space="preserve">Praga</w:t>
      </w:r>
    </w:p>
    <w:p>
      <w:pPr>
        <w:spacing w:after="60"/>
      </w:pPr>
      <w:r>
        <w:rPr>
          <w:b/>
          <w:bCs/>
          <w:color w:val="5A6B60"/>
          <w:sz w:val="20"/>
          <w:szCs w:val="20"/>
        </w:rPr>
        <w:t xml:space="preserve">Origine: </w:t>
      </w:r>
      <w:r>
        <w:rPr>
          <w:color w:val="1F2F26"/>
          <w:sz w:val="20"/>
          <w:szCs w:val="20"/>
        </w:rPr>
        <w:t xml:space="preserve">Cehia (selecție tradițională)</w:t>
      </w:r>
    </w:p>
    <w:p>
      <w:pPr>
        <w:spacing w:after="60"/>
      </w:pPr>
      <w:r>
        <w:rPr>
          <w:b/>
          <w:bCs/>
          <w:color w:val="5A6B60"/>
          <w:sz w:val="20"/>
          <w:szCs w:val="20"/>
        </w:rPr>
        <w:t xml:space="preserve">Caracterizare scurtă: </w:t>
      </w:r>
      <w:r>
        <w:rPr>
          <w:color w:val="1F2F26"/>
          <w:sz w:val="20"/>
          <w:szCs w:val="20"/>
        </w:rPr>
        <w:t xml:space="preserve">Soi clasic de țelină de rădăcină, rădăcină mare</w:t>
      </w:r>
    </w:p>
    <w:p>
      <w:pPr>
        <w:spacing w:after="120"/>
      </w:pPr>
      <w:r>
        <w:rPr>
          <w:color w:val="1F2F26"/>
          <w:sz w:val="20"/>
          <w:szCs w:val="20"/>
        </w:rPr>
        <w:t xml:space="preserve">Praga (Pražský obrovský / „Uriașul de Praga”) este un soi tradițional de țelină de rădăcină, apreciat pentru rădăcina mare, rotundă, cu miez alb și puține rădăcini secundare laterale. Este un reper istoric pentru culturile de câmp, cu perioadă lungă de vegetație și bună capacitate de păstrare peste iarnă.</w:t>
      </w:r>
    </w:p>
    <w:p>
      <w:pPr>
        <w:pStyle w:val="Heading2"/>
        <w:spacing w:after="100" w:before="200"/>
      </w:pPr>
      <w:r>
        <w:rPr>
          <w:b/>
          <w:bCs/>
          <w:color w:val="198754"/>
          <w:sz w:val="22"/>
          <w:szCs w:val="22"/>
        </w:rPr>
        <w:t xml:space="preserve">Caracteristici principale</w:t>
      </w:r>
    </w:p>
    <w:p>
      <w:pPr>
        <w:pStyle w:val="ListParagraph"/>
        <w:numPr>
          <w:ilvl w:val="0"/>
          <w:numId w:val="1"/>
        </w:numPr>
        <w:spacing w:after="60"/>
      </w:pPr>
      <w:r>
        <w:rPr>
          <w:color w:val="1F2F26"/>
          <w:sz w:val="20"/>
          <w:szCs w:val="20"/>
        </w:rPr>
        <w:t xml:space="preserve">Rădăcină mare, rotundă</w:t>
      </w:r>
    </w:p>
    <w:p>
      <w:pPr>
        <w:pStyle w:val="ListParagraph"/>
        <w:numPr>
          <w:ilvl w:val="0"/>
          <w:numId w:val="1"/>
        </w:numPr>
        <w:spacing w:after="60"/>
      </w:pPr>
      <w:r>
        <w:rPr>
          <w:color w:val="1F2F26"/>
          <w:sz w:val="20"/>
          <w:szCs w:val="20"/>
        </w:rPr>
        <w:t xml:space="preserve">Miez alb, compact</w:t>
      </w:r>
    </w:p>
    <w:p>
      <w:pPr>
        <w:pStyle w:val="ListParagraph"/>
        <w:numPr>
          <w:ilvl w:val="0"/>
          <w:numId w:val="1"/>
        </w:numPr>
        <w:spacing w:after="60"/>
      </w:pPr>
      <w:r>
        <w:rPr>
          <w:color w:val="1F2F26"/>
          <w:sz w:val="20"/>
          <w:szCs w:val="20"/>
        </w:rPr>
        <w:t xml:space="preserve">Perioadă lungă de vegetație</w:t>
      </w:r>
    </w:p>
    <w:p>
      <w:pPr>
        <w:pStyle w:val="ListParagraph"/>
        <w:numPr>
          <w:ilvl w:val="0"/>
          <w:numId w:val="1"/>
        </w:numPr>
        <w:spacing w:after="60"/>
      </w:pPr>
      <w:r>
        <w:rPr>
          <w:color w:val="1F2F26"/>
          <w:sz w:val="20"/>
          <w:szCs w:val="20"/>
        </w:rPr>
        <w:t xml:space="preserve">Bună păstrare peste iarnă</w:t>
      </w:r>
    </w:p>
    <w:p>
      <w:pPr>
        <w:pStyle w:val="Heading1"/>
        <w:spacing w:after="160" w:before="320"/>
      </w:pPr>
      <w:r>
        <w:rPr>
          <w:b/>
          <w:bCs/>
          <w:color w:val="1F2F26"/>
          <w:sz w:val="28"/>
          <w:szCs w:val="28"/>
        </w:rPr>
        <w:t xml:space="preserve">Galerie foto</w:t>
      </w:r>
    </w:p>
    <w:p>
      <w:r>
        <w:br w:type="page"/>
      </w:r>
    </w:p>
    <w:p>
      <w:pPr>
        <w:spacing w:after="240" w:before="1800"/>
        <w:jc w:val="center"/>
      </w:pPr>
      <w:r>
        <w:rPr>
          <w:sz w:val="72"/>
          <w:szCs w:val="72"/>
        </w:rPr>
        <w:t xml:space="preserve">🔒</w:t>
      </w:r>
    </w:p>
    <w:p>
      <w:pPr>
        <w:spacing w:after="240"/>
        <w:jc w:val="center"/>
      </w:pPr>
      <w:r>
        <w:rPr>
          <w:b/>
          <w:bCs/>
          <w:color w:val="1F2F26"/>
          <w:sz w:val="30"/>
          <w:szCs w:val="30"/>
        </w:rPr>
        <w:t xml:space="preserve">Accesul complet la acest document este disponibil doar în varianta integrală.</w:t>
      </w:r>
    </w:p>
    <w:p>
      <w:pPr>
        <w:spacing w:after="240"/>
        <w:jc w:val="center"/>
      </w:pPr>
      <w:r>
        <w:rPr>
          <w:color w:val="5A6B60"/>
          <w:sz w:val="22"/>
          <w:szCs w:val="22"/>
        </w:rPr>
        <w:t xml:space="preserve">Acesta reprezintă un material tehnic profesional elaborat de echipa EDTA Plant și conține informații complete privind metodologia, interpretarea rezultatelor, recomandările tehnice și valorile de referință.</w:t>
      </w:r>
    </w:p>
    <w:p>
      <w:pPr>
        <w:spacing w:after="360"/>
        <w:jc w:val="center"/>
      </w:pPr>
      <w:r>
        <w:rPr>
          <w:b/>
          <w:bCs/>
          <w:color w:val="198754"/>
          <w:sz w:val="24"/>
          <w:szCs w:val="24"/>
        </w:rPr>
        <w:t xml:space="preserve">📩 Versiunea completă poate fi achiziționată online, direct de pe edtaplant.ro — acces instantaneu după confirmarea plății.</w:t>
      </w:r>
    </w:p>
    <w:p>
      <w:pPr>
        <w:jc w:val="center"/>
      </w:pPr>
      <w:r>
        <w:rPr>
          <w:color w:val="5A6B60"/>
          <w:sz w:val="20"/>
          <w:szCs w:val="20"/>
        </w:rPr>
        <w:t xml:space="preserve">Consultanță · Nutriția plantelor 0729 857 947   ·   Suport tehnic 0723 595 983   ·   edtaplant.ro/contact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F26"/>
        <w:sz w:val="20"/>
        <w:szCs w:val="20"/>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98754" w:sz="4"/>
      </w:pBdr>
      <w:spacing w:after="140" w:before="280"/>
    </w:pPr>
    <w:rPr>
      <w:b/>
      <w:bCs/>
      <w:color w:val="1F2F26"/>
      <w:sz w:val="28"/>
      <w:szCs w:val="28"/>
    </w:rPr>
  </w:style>
  <w:style w:type="paragraph" w:styleId="Heading2">
    <w:name w:val="Heading 2"/>
    <w:basedOn w:val="Normal"/>
    <w:next w:val="Normal"/>
    <w:qFormat/>
    <w:pPr>
      <w:spacing w:after="100" w:before="200"/>
    </w:pPr>
    <w:rPr>
      <w:b/>
      <w:bCs/>
      <w:color w:val="198754"/>
      <w:sz w:val="22"/>
      <w:szCs w:val="22"/>
    </w:rPr>
  </w:style>
  <w:style w:type="paragraph" w:styleId="Heading3">
    <w:name w:val="Heading 3"/>
    <w:basedOn w:val="Normal"/>
    <w:next w:val="Normal"/>
    <w:qFormat/>
    <w:pPr>
      <w:spacing w:after="60" w:before="140"/>
    </w:pPr>
    <w:rPr>
      <w:b/>
      <w:bCs/>
      <w:color w:val="0F5C3F"/>
      <w:sz w:val="19"/>
      <w:szCs w:val="19"/>
    </w:rPr>
  </w:style>
  <w:style w:type="paragraph" w:styleId="Normal">
    <w:name w:val="Normal"/>
    <w:pPr>
      <w:spacing w:after="80" w:line="276" w:lineRule="auto"/>
      <w:jc w:val="both"/>
    </w:pPr>
    <w:rPr>
      <w:rFonts w:ascii="Calibri" w:cs="Calibri" w:eastAsia="Calibri" w:hAnsi="Calibri"/>
      <w:color w:val="1F2F26"/>
      <w:sz w:val="18"/>
      <w:szCs w:val="18"/>
    </w:rPr>
  </w:style>
  <w:style w:type="paragraph" w:styleId="Caption">
    <w:name w:val="Caption"/>
    <w:basedOn w:val="Normal"/>
    <w:pPr>
      <w:spacing w:after="120" w:before="60"/>
      <w:jc w:val="center"/>
    </w:pPr>
    <w:rPr>
      <w:i/>
      <w:iCs/>
      <w:color w:val="5A6B60"/>
      <w:sz w:val="16"/>
      <w:szCs w:val="16"/>
    </w:rPr>
  </w:style>
  <w:style w:type="paragraph" w:styleId="TableHeader">
    <w:name w:val="Table Header"/>
    <w:basedOn w:val="Normal"/>
    <w:pPr>
      <w:spacing w:after="0"/>
    </w:pPr>
    <w:rPr>
      <w:b/>
      <w:bCs/>
      <w:color w:val="FFFFFF"/>
      <w:sz w:val="17"/>
      <w:szCs w:val="17"/>
    </w:rPr>
  </w:style>
  <w:style w:type="paragraph" w:styleId="TableCell">
    <w:name w:val="Table Cell"/>
    <w:basedOn w:val="Normal"/>
    <w:pPr>
      <w:spacing w:after="0"/>
    </w:pPr>
    <w:rPr>
      <w:color w:val="1F2F26"/>
      <w:sz w:val="17"/>
      <w:szCs w:val="17"/>
    </w:rPr>
  </w:style>
  <w:style w:type="paragraph" w:styleId="FooterText">
    <w:name w:val="Footer Text"/>
    <w:basedOn w:val="Normal"/>
    <w:pPr>
      <w:spacing w:after="0"/>
      <w:jc w:val="left"/>
    </w:pPr>
    <w:rPr>
      <w:color w:val="5A6B60"/>
      <w:sz w:val="15"/>
      <w:szCs w:val="15"/>
    </w:rPr>
  </w:style>
  <w:style w:type="paragraph" w:styleId="EditorialBox">
    <w:name w:val="Editorial Box"/>
    <w:basedOn w:val="Normal"/>
    <w:pPr>
      <w:pBdr>
        <w:left w:val="thick" w:color="198754" w:sz="12"/>
      </w:pBdr>
      <w:shd w:color="EEF5F0" w:val="solid"/>
      <w:spacing w:after="60" w:before="60"/>
      <w:ind w:left="340"/>
    </w:pPr>
    <w:rPr>
      <w:color w:val="1F2F26"/>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Ghid tehnic de analiză foliară — Țelină de rădăcină soiul Praga</dc:title>
  <dc:subject>Țelină de rădăcină soiul Praga</dc:subject>
  <dc:creator>EDTA Plant</dc:creator>
  <cp:keywords>EDTA Plant, edtaplant.ro</cp:keywords>
  <cp:lastModifiedBy>EDTA Plant</cp:lastModifiedBy>
  <cp:revision>1</cp:revision>
  <dcterms:created xsi:type="dcterms:W3CDTF">2026-10-21T00:49:02.281Z</dcterms:created>
  <dcterms:modified xsi:type="dcterms:W3CDTF">2026-10-21T00:49:02.281Z</dcterms:modified>
</cp:coreProperties>
</file>

<file path=docProps/custom.xml><?xml version="1.0" encoding="utf-8"?>
<Properties xmlns="http://schemas.openxmlformats.org/officeDocument/2006/custom-properties" xmlns:vt="http://schemas.openxmlformats.org/officeDocument/2006/docPropsVTypes"/>
</file>