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Vina</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Vina</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Vina</w:t>
      </w:r>
    </w:p>
    <w:p>
      <w:pPr>
        <w:spacing w:after="60"/>
      </w:pPr>
      <w:r>
        <w:rPr>
          <w:b/>
          <w:bCs/>
          <w:color w:val="5A6B60"/>
          <w:sz w:val="20"/>
          <w:szCs w:val="20"/>
        </w:rPr>
        <w:t xml:space="preserve">Origine: </w:t>
      </w:r>
      <w:r>
        <w:rPr>
          <w:color w:val="1F2F26"/>
          <w:sz w:val="20"/>
          <w:szCs w:val="20"/>
        </w:rPr>
        <w:t xml:space="preserve">Statele Unite</w:t>
      </w:r>
    </w:p>
    <w:p>
      <w:pPr>
        <w:spacing w:after="60"/>
      </w:pPr>
      <w:r>
        <w:rPr>
          <w:b/>
          <w:bCs/>
          <w:color w:val="5A6B60"/>
          <w:sz w:val="20"/>
          <w:szCs w:val="20"/>
        </w:rPr>
        <w:t xml:space="preserve">Caracterizare scurtă: </w:t>
      </w:r>
      <w:r>
        <w:rPr>
          <w:color w:val="1F2F26"/>
          <w:sz w:val="20"/>
          <w:szCs w:val="20"/>
        </w:rPr>
        <w:t xml:space="preserve">Soi american, fructificare laterală</w:t>
      </w:r>
    </w:p>
    <w:p>
      <w:pPr>
        <w:spacing w:after="120"/>
      </w:pPr>
      <w:r>
        <w:rPr>
          <w:color w:val="1F2F26"/>
          <w:sz w:val="20"/>
          <w:szCs w:val="20"/>
        </w:rPr>
        <w:t xml:space="preserve">Vina este un soi american cu fructificare laterală și producții bune, potrivit pentru sistemele de cultură intensive.</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Fructificare laterală</w:t>
      </w:r>
    </w:p>
    <w:p>
      <w:pPr>
        <w:pStyle w:val="ListParagraph"/>
        <w:numPr>
          <w:ilvl w:val="0"/>
          <w:numId w:val="1"/>
        </w:numPr>
        <w:spacing w:after="60"/>
      </w:pPr>
      <w:r>
        <w:rPr>
          <w:color w:val="1F2F26"/>
          <w:sz w:val="20"/>
          <w:szCs w:val="20"/>
        </w:rPr>
        <w:t xml:space="preserve">Producții bune</w:t>
      </w:r>
    </w:p>
    <w:p>
      <w:pPr>
        <w:pStyle w:val="ListParagraph"/>
        <w:numPr>
          <w:ilvl w:val="0"/>
          <w:numId w:val="1"/>
        </w:numPr>
        <w:spacing w:after="60"/>
      </w:pPr>
      <w:r>
        <w:rPr>
          <w:color w:val="1F2F26"/>
          <w:sz w:val="20"/>
          <w:szCs w:val="20"/>
        </w:rPr>
        <w:t xml:space="preserve">Potrivit pentru livezi intensive</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Vina și particularități agronomice</w:t>
      </w:r>
    </w:p>
    <w:p>
      <w:pPr>
        <w:spacing w:after="120"/>
      </w:pPr>
      <w:r>
        <w:rPr>
          <w:color w:val="1F2F26"/>
          <w:sz w:val="20"/>
          <w:szCs w:val="20"/>
        </w:rPr>
        <w:t xml:space="preserve">‘Vina’ este un soi de nuc (Juglans regia) obținut în programul de ameliorare al Universității California, Davis (Serr &amp; Forde), unul dintre soiurile de referință ale programului. Pornește devreme în vegetație (cca. 1 zi înaintea soiului Payne), are fructificare laterală abundentă și recoltare timpurie spre mijlocie. Pomul este mare, foarte viguros, cu port moderat răsfirat (descris ca „willowy”). Produce nuci medii-mari, de tip Payne (ușor ascuțite), cu sudură corespunzătoare și miez preponderent deschis; calitatea miezului este considerată mai modestă comparativ cu alte soiuri UC.</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UC Davis (programul Serr &amp; Forde)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Timpurie (cca. 1 zi înaintea soiului Payne)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Necesită polenizator</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Laterală abundentă (fructificare laterală ridicată)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Timpurie spre mijlocie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medie-mare, tip Payne (ușor ascuțită), sudură corespunzătoare; miez preponderent deschis, randament ~43–45%</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Foarte ridicată; pom mare, port moderat răsfirat („willowy”)</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Moderat</w:t>
            </w:r>
          </w:p>
        </w:tc>
      </w:tr>
    </w:tbl>
    <w:p>
      <w:pPr>
        <w:spacing w:after="120"/>
      </w:pPr>
    </w:p>
    <w:p>
      <w:pPr>
        <w:pStyle w:val="Heading2"/>
        <w:spacing w:after="100" w:before="200"/>
      </w:pPr>
      <w:r>
        <w:rPr>
          <w:b/>
          <w:bCs/>
          <w:color w:val="198754"/>
          <w:sz w:val="22"/>
          <w:szCs w:val="22"/>
        </w:rPr>
        <w:t xml:space="preserve">1.2. Implicații nutriționale ale particularităților Vina</w:t>
      </w:r>
    </w:p>
    <w:p>
      <w:pPr>
        <w:spacing w:after="120"/>
      </w:pPr>
      <w:r>
        <w:rPr>
          <w:color w:val="1F2F26"/>
          <w:sz w:val="20"/>
          <w:szCs w:val="20"/>
        </w:rPr>
        <w:t xml:space="preserve">Producție ridicată — fructificarea laterală abundentă înseamnă o încărcătură mare de fructe și o cerere susținută de potasiu și azot în perioada de umplere a miezului; soiurile cu producție mare epuizează mai rapid rezervele.</w:t>
      </w:r>
    </w:p>
    <w:p>
      <w:pPr>
        <w:spacing w:after="120"/>
      </w:pPr>
      <w:r>
        <w:rPr>
          <w:color w:val="1F2F26"/>
          <w:sz w:val="20"/>
          <w:szCs w:val="20"/>
        </w:rPr>
        <w:t xml:space="preserve">Vigoare foarte ridicată — pomul viguros, cu creștere „willowy”, necesită un management atent al azotului: un exces de N accentuează creșterea vegetativă în detrimentul echilibrului de rodire, astfel încât un N foliar spre limita superioară se interpretează cu prudență.</w:t>
      </w:r>
    </w:p>
    <w:p>
      <w:pPr>
        <w:spacing w:after="120"/>
      </w:pPr>
      <w:r>
        <w:rPr>
          <w:color w:val="1F2F26"/>
          <w:sz w:val="20"/>
          <w:szCs w:val="20"/>
        </w:rPr>
        <w:t xml:space="preserve">Fenologie timpurie — pornirea cu cca. 1 zi înaintea soiului Payne crește expunerea la înghețurile târzii și la bacterioza nucului (Xanthomonas arboricola pv. juglandis), ceea ce poate influența indirect starea foliajului analizat.</w:t>
      </w:r>
    </w:p>
    <w:p>
      <w:pPr>
        <w:spacing w:after="120"/>
      </w:pPr>
      <w:r>
        <w:rPr>
          <w:color w:val="1F2F26"/>
          <w:sz w:val="20"/>
          <w:szCs w:val="20"/>
        </w:rPr>
        <w:t xml:space="preserve">Portaltoi și blackline — altoit pe portaltoi sensibili,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Vina.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Vina. Standardele de interpretare (carență / optim / exces) utilizate în acest ghid sunt cele generale pentru Juglans regia, stabilite de Universitatea California (UC ANR / UC Davis) și de programul de fertilizare CDFA-FREP. Ele se aplică soiului Vina ca recomandări generale pentru specie și sunt marcate explicit ca atare în text. Particularitățile Vina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Vina), nu validate separat pentru Vina.</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Vina, care pornește devreme (cca. 1 zi înaintea soiului Payne), frunzele ating maturitatea mai devreme, dar fereastra de prelevare din iulie rămâne reperul standard.</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Vina,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Vina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Vina</w:t>
      </w:r>
    </w:p>
    <w:p>
      <w:pPr>
        <w:pStyle w:val="Heading2"/>
        <w:spacing w:after="100" w:before="200"/>
      </w:pPr>
      <w:r>
        <w:rPr>
          <w:b/>
          <w:bCs/>
          <w:color w:val="198754"/>
          <w:sz w:val="22"/>
          <w:szCs w:val="22"/>
        </w:rPr>
        <w:t xml:space="preserve">6. Diferențe față de recomandările generale Juglans regia și sensibilități Vina</w:t>
      </w:r>
    </w:p>
    <w:p>
      <w:pPr>
        <w:spacing w:after="120"/>
      </w:pPr>
      <w:r>
        <w:rPr>
          <w:color w:val="1F2F26"/>
          <w:sz w:val="20"/>
          <w:szCs w:val="20"/>
        </w:rPr>
        <w:t xml:space="preserve">În literatura științifică verificabilă NU există praguri de interpretare a țesutului foliar demonstrate ca fiind diferite pentru Vina față de Juglans regia. Prin urmare, în acest ghid nu se introduc praguri „specifice Vina”;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ridicată — datorită fructificării laterale abundente și producției mari, Vina are o cerere susținută de K și N în faza de umplere a miezului; interpretarea unui K „la limita inferioară” a intervalului optim trebuie tratată mai atent la un soi productiv.</w:t>
      </w:r>
    </w:p>
    <w:p>
      <w:pPr>
        <w:spacing w:after="120"/>
      </w:pPr>
      <w:r>
        <w:rPr>
          <w:color w:val="1F2F26"/>
          <w:sz w:val="20"/>
          <w:szCs w:val="20"/>
        </w:rPr>
        <w:t xml:space="preserve">Vigoare foarte ridicată — un exces de azot accentuează creșterea vegetativă „willowy”; un N foliar spre limita superioară se interpretează cu prudență, corelând cu vigoarea observată în câmp.</w:t>
      </w:r>
    </w:p>
    <w:p>
      <w:pPr>
        <w:spacing w:after="120"/>
      </w:pPr>
      <w:r>
        <w:rPr>
          <w:color w:val="1F2F26"/>
          <w:sz w:val="20"/>
          <w:szCs w:val="20"/>
        </w:rPr>
        <w:t xml:space="preserve">Fenologie timpurie — pornirea devreme crește expunerea la înghețuri târzii și bacterioză; acestea influențează starea foliajului, dar nu modifică pragurile de interpretare.</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Regulă internă EDTA Plant: orice prag prezentat ca „specific Vina”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Vina</w:t>
      </w:r>
    </w:p>
    <w:p>
      <w:pPr>
        <w:pStyle w:val="Heading2"/>
        <w:spacing w:after="100" w:before="200"/>
      </w:pPr>
      <w:r>
        <w:rPr>
          <w:b/>
          <w:bCs/>
          <w:color w:val="198754"/>
          <w:sz w:val="22"/>
          <w:szCs w:val="22"/>
        </w:rPr>
        <w:t xml:space="preserve">De ce necesită Vina o atenție deosebită la potasiu și azot?</w:t>
      </w:r>
    </w:p>
    <w:p>
      <w:pPr>
        <w:spacing w:after="120"/>
      </w:pPr>
      <w:r>
        <w:rPr>
          <w:color w:val="1F2F26"/>
          <w:sz w:val="20"/>
          <w:szCs w:val="20"/>
        </w:rPr>
        <w:t xml:space="preserve">Fructificarea laterală abundentă a soiului Vina înseamnă o încărcătură mare de fructe și o cerere susținută de potasiu și azot în perioada de umplere a miezului; soiurile cu producție mare epuizează mai rapid rezervele. O valoare de potasiu la limita inferioară a intervalului optim trebuie tratată cu atenție și corelată cu producția și cu simptomele vizuale.</w:t>
      </w:r>
    </w:p>
    <w:p>
      <w:pPr>
        <w:pStyle w:val="Heading2"/>
        <w:spacing w:after="100" w:before="200"/>
      </w:pPr>
      <w:r>
        <w:rPr>
          <w:b/>
          <w:bCs/>
          <w:color w:val="198754"/>
          <w:sz w:val="22"/>
          <w:szCs w:val="22"/>
        </w:rPr>
        <w:t xml:space="preserve">Când se recoltează probele foliare la Vina?</w:t>
      </w:r>
    </w:p>
    <w:p>
      <w:pPr>
        <w:spacing w:after="120"/>
      </w:pPr>
      <w:r>
        <w:rPr>
          <w:color w:val="1F2F26"/>
          <w:sz w:val="20"/>
          <w:szCs w:val="20"/>
        </w:rPr>
        <w:t xml:space="preserve">Fereastra standard de prelevare este luna iulie, din foliolele terminale ale frunzelor, deoarece pragurile de interpretare UC sunt calibrate pentru probe recoltate în această perioadă, când variația concentrației nutrienților în frunze este minimă. Respectarea protocolului de prelevare condiționează direct corectitudinea interpretării.</w:t>
      </w:r>
    </w:p>
    <w:p>
      <w:pPr>
        <w:pStyle w:val="Heading2"/>
        <w:spacing w:after="100" w:before="200"/>
      </w:pPr>
      <w:r>
        <w:rPr>
          <w:b/>
          <w:bCs/>
          <w:color w:val="198754"/>
          <w:sz w:val="22"/>
          <w:szCs w:val="22"/>
        </w:rPr>
        <w:t xml:space="preserve">Are Vina praguri de interpretare foliară proprii?</w:t>
      </w:r>
    </w:p>
    <w:p>
      <w:pPr>
        <w:spacing w:after="120"/>
      </w:pPr>
      <w:r>
        <w:rPr>
          <w:color w:val="1F2F26"/>
          <w:sz w:val="20"/>
          <w:szCs w:val="20"/>
        </w:rPr>
        <w:t xml:space="preserve">Nu. Nu există praguri demonstrate ca fiind diferite pentru Vina față de Juglans regia, motiv pentru care interpretarea folosește pragurile UC la nivel de specie. Cererea ridicată de nutrienți specifică soiului se reflectă în monitorizare și în corelarea cu producția, nu în modificarea valorilor de referință.</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Vina</w:t>
      </w:r>
    </w:p>
    <w:p>
      <w:pPr>
        <w:pStyle w:val="ListParagraph"/>
        <w:numPr>
          <w:ilvl w:val="0"/>
          <w:numId w:val="1"/>
        </w:numPr>
        <w:spacing w:after="60"/>
      </w:pPr>
      <w:r>
        <w:rPr>
          <w:color w:val="1F2F26"/>
          <w:sz w:val="20"/>
          <w:szCs w:val="20"/>
        </w:rPr>
        <w:t xml:space="preserve">California Crop Fertilization Guidelines – Walnut — </w:t>
      </w:r>
      <w:hyperlink w:history="1" r:id="rIdr2-cs_ykpscexdt-r3f4k">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5ibiqnrej1sk0hycwmknm">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v0staka8xbczomlnjzl8w">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zv0ycb3ufrlns_dlrogma">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sq3hjwzp2yca_yay4kfhu">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suaulk30cubb2gpmvxruu">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eldtzqeptvedout9srqqo">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yp3stcapklavvkkr4tpy-">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cks54k3qajuahinzk2kqu">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kr7su5xaf2szg6nxtolig">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grmaknk_vo_nhqejbdvpe">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so7ozsor_28smztaobebj">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Vina Walnut (fișă de soi) — </w:t>
      </w:r>
      <w:hyperlink w:history="1" r:id="rIdnox_0bmjrejdweilacq4j">
        <w:r>
          <w:rPr>
            <w:color w:val="198754"/>
            <w:sz w:val="20"/>
            <w:szCs w:val="20"/>
            <w:u w:val="single"/>
          </w:rPr>
          <w:t xml:space="preserve">https://www.davewilson.com/product-information/product/vina-walnut</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r2-cs_ykpscexdt-r3f4k" Type="http://schemas.openxmlformats.org/officeDocument/2006/relationships/hyperlink" Target="https://www.cdfa.ca.gov/is/ffldrs/frep/FertilizationGuidelines/Walnut.html" TargetMode="External"/><Relationship Id="rId5ibiqnrej1sk0hycwmknm" Type="http://schemas.openxmlformats.org/officeDocument/2006/relationships/hyperlink" Target="http://geisseler.ucdavis.edu/Guidelines/Walnut.html" TargetMode="External"/><Relationship Id="rIdv0staka8xbczomlnjzl8w" Type="http://schemas.openxmlformats.org/officeDocument/2006/relationships/hyperlink" Target="https://ucanr.edu/sites/default/files/2013-02/161801.pdf" TargetMode="External"/><Relationship Id="rIdzv0ycb3ufrlns_dlrogma" Type="http://schemas.openxmlformats.org/officeDocument/2006/relationships/hyperlink" Target="https://anrcatalog.ucanr.edu/Details.aspx?itemNo=3373" TargetMode="External"/><Relationship Id="rIdsq3hjwzp2yca_yay4kfhu" Type="http://schemas.openxmlformats.org/officeDocument/2006/relationships/hyperlink" Target="https://apps1.cdfa.ca.gov/FertilizerResearch/docs/Orchard_Tissue_Sampling.pdf" TargetMode="External"/><Relationship Id="rIdsuaulk30cubb2gpmvxruu" Type="http://schemas.openxmlformats.org/officeDocument/2006/relationships/hyperlink" Target="https://dellavallelab.com/wp-content/uploads/2022/11/Walnut-Sampling-Guide-Final.pdf" TargetMode="External"/><Relationship Id="rIdeldtzqeptvedout9srqqo" Type="http://schemas.openxmlformats.org/officeDocument/2006/relationships/hyperlink" Target="https://fglinc.com/wordpress/wp-content/uploads/2020/08/Walnut_Leaf_and_Soil.pdf" TargetMode="External"/><Relationship Id="rIdyp3stcapklavvkkr4tpy-" Type="http://schemas.openxmlformats.org/officeDocument/2006/relationships/hyperlink" Target="http://ipm.ucanr.edu/PMG/GARDEN/PLANTS/DISORDERS/zincdeficiency.html" TargetMode="External"/><Relationship Id="rIdcks54k3qajuahinzk2kqu" Type="http://schemas.openxmlformats.org/officeDocument/2006/relationships/hyperlink" Target="https://ipm.ucanr.edu/agriculture/walnut/blackline/" TargetMode="External"/><Relationship Id="rIdkr7su5xaf2szg6nxtolig" Type="http://schemas.openxmlformats.org/officeDocument/2006/relationships/hyperlink" Target="https://ipm.ucanr.edu/agriculture/walnut/walnut-blight/" TargetMode="External"/><Relationship Id="rIdgrmaknk_vo_nhqejbdvpe" Type="http://schemas.openxmlformats.org/officeDocument/2006/relationships/hyperlink" Target="https://ucanr.edu/site/water-resources-management/article/water-quality-technical-note-boron-b" TargetMode="External"/><Relationship Id="rIdso7ozsor_28smztaobebj" Type="http://schemas.openxmlformats.org/officeDocument/2006/relationships/hyperlink" Target="https://pmc.ncbi.nlm.nih.gov/articles/PMC7073067/" TargetMode="External"/><Relationship Id="rIdnox_0bmjrejdweilacq4j" Type="http://schemas.openxmlformats.org/officeDocument/2006/relationships/hyperlink" Target="https://www.davewilson.com/product-information/product/vina-walnut"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Vina</dc:title>
  <dc:creator>EDTA Plant</dc:creator>
  <dc:description>Ghid tehnic de analiză foliară pentru nuc soiul vina, generat din standardele partajate EDTA.</dc:description>
  <cp:lastModifiedBy>Un-named</cp:lastModifiedBy>
  <cp:revision>1</cp:revision>
  <dcterms:created xsi:type="dcterms:W3CDTF">2026-07-14T12:13:07.217Z</dcterms:created>
  <dcterms:modified xsi:type="dcterms:W3CDTF">2026-07-14T12:13:07.217Z</dcterms:modified>
</cp:coreProperties>
</file>

<file path=docProps/custom.xml><?xml version="1.0" encoding="utf-8"?>
<Properties xmlns="http://schemas.openxmlformats.org/officeDocument/2006/custom-properties" xmlns:vt="http://schemas.openxmlformats.org/officeDocument/2006/docPropsVTypes"/>
</file>