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1200"/>
        <w:jc w:val="center"/>
      </w:pPr>
      <w:r>
        <w:rPr>
          <w:b/>
          <w:bCs/>
          <w:color w:val="198754"/>
          <w:sz w:val="56"/>
          <w:szCs w:val="56"/>
        </w:rPr>
        <w:t xml:space="preserve">EDTA Plant</w:t>
      </w:r>
    </w:p>
    <w:p>
      <w:pPr>
        <w:spacing w:after="120"/>
        <w:jc w:val="center"/>
      </w:pPr>
      <w:r>
        <w:rPr>
          <w:color w:val="5A6B60"/>
          <w:sz w:val="17"/>
          <w:szCs w:val="17"/>
        </w:rPr>
        <w:t xml:space="preserve">edtaplant.ro</w:t>
      </w:r>
    </w:p>
    <w:p>
      <w:pPr>
        <w:pBdr>
          <w:top w:val="single" w:color="198754" w:sz="6"/>
        </w:pBdr>
        <w:spacing w:after="60"/>
        <w:jc w:val="center"/>
      </w:pPr>
    </w:p>
    <w:p>
      <w:pPr>
        <w:spacing w:after="80" w:before="200"/>
        <w:jc w:val="center"/>
      </w:pPr>
      <w:r>
        <w:rPr>
          <w:b/>
          <w:bCs/>
          <w:color w:val="1F2F26"/>
          <w:sz w:val="44"/>
          <w:szCs w:val="44"/>
        </w:rPr>
        <w:t xml:space="preserve">Ghid tehnic de analiză foliară</w:t>
      </w:r>
    </w:p>
    <w:p>
      <w:pPr>
        <w:spacing w:after="60"/>
        <w:jc w:val="center"/>
      </w:pPr>
      <w:r>
        <w:rPr>
          <w:color w:val="0F5C3F"/>
          <w:sz w:val="30"/>
          <w:szCs w:val="30"/>
        </w:rPr>
        <w:t xml:space="preserve">Nuc soiul Velnița</w:t>
      </w:r>
    </w:p>
    <w:p>
      <w:pPr>
        <w:spacing w:after="80"/>
        <w:jc w:val="center"/>
      </w:pPr>
      <w:r>
        <w:rPr>
          <w:i/>
          <w:iCs/>
          <w:color w:val="5A6B60"/>
          <w:sz w:val="20"/>
          <w:szCs w:val="20"/>
        </w:rPr>
        <w:t xml:space="preserve">Juglans regia · Ediția 1 (Iulie 2026)</w:t>
      </w:r>
    </w:p>
    <w:p>
      <w:pPr>
        <w:spacing w:after="120" w:before="120"/>
        <w:jc w:val="center"/>
      </w:pPr>
      <w:r>
        <w:rPr>
          <w:b/>
          <w:bCs/>
          <w:color w:val="FFFFFF"/>
          <w:sz w:val="17"/>
          <w:szCs w:val="17"/>
          <w:shd w:color="B45309" w:val="solid"/>
        </w:rPr>
        <w:t xml:space="preserve">  Previzualizare — extras din documentul integral  </w:t>
      </w:r>
    </w:p>
    <w:tbl>
      <w:tblPr>
        <w:tblW w:type="pct" w:w="70%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40%"/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b/>
                <w:bCs/>
                <w:color w:val="5A6B60"/>
                <w:sz w:val="17"/>
                <w:szCs w:val="17"/>
              </w:rPr>
              <w:t xml:space="preserve">Generat</w:t>
            </w:r>
          </w:p>
        </w:tc>
        <w:tc>
          <w:tcPr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color w:val="1F2F26"/>
                <w:sz w:val="17"/>
                <w:szCs w:val="17"/>
              </w:rPr>
              <w:t xml:space="preserve">14 octombrie 2026</w:t>
            </w:r>
          </w:p>
        </w:tc>
      </w:tr>
      <w:tr>
        <w:tc>
          <w:tcPr>
            <w:tcW w:type="pct" w:w="40%"/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b/>
                <w:bCs/>
                <w:color w:val="5A6B60"/>
                <w:sz w:val="17"/>
                <w:szCs w:val="17"/>
              </w:rPr>
              <w:t xml:space="preserve">Sursă</w:t>
            </w:r>
          </w:p>
        </w:tc>
        <w:tc>
          <w:tcPr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color w:val="1F2F26"/>
                <w:sz w:val="17"/>
                <w:szCs w:val="17"/>
              </w:rPr>
              <w:t xml:space="preserve">Standardele partajate EDTA</w:t>
            </w:r>
          </w:p>
        </w:tc>
      </w:tr>
      <w:tr>
        <w:tc>
          <w:tcPr>
            <w:tcW w:type="pct" w:w="40%"/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b/>
                <w:bCs/>
                <w:color w:val="5A6B60"/>
                <w:sz w:val="17"/>
                <w:szCs w:val="17"/>
              </w:rPr>
              <w:t xml:space="preserve">Consultanță</w:t>
            </w:r>
          </w:p>
        </w:tc>
        <w:tc>
          <w:tcPr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color w:val="1F2F26"/>
                <w:sz w:val="17"/>
                <w:szCs w:val="17"/>
              </w:rPr>
              <w:t xml:space="preserve">Nutriția plantelor 0729 857 947</w:t>
            </w:r>
          </w:p>
        </w:tc>
      </w:tr>
      <w:tr>
        <w:tc>
          <w:tcPr>
            <w:tcW w:type="pct" w:w="40%"/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b/>
                <w:bCs/>
                <w:color w:val="5A6B60"/>
                <w:sz w:val="17"/>
                <w:szCs w:val="17"/>
              </w:rPr>
              <w:t xml:space="preserve">Suport tehnic</w:t>
            </w:r>
          </w:p>
        </w:tc>
        <w:tc>
          <w:tcPr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color w:val="1F2F26"/>
                <w:sz w:val="17"/>
                <w:szCs w:val="17"/>
              </w:rPr>
              <w:t xml:space="preserve">0723 595 983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Cuprins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1.  </w:t>
      </w:r>
      <w:r>
        <w:rPr>
          <w:color w:val="1F2F26"/>
          <w:sz w:val="19"/>
          <w:szCs w:val="19"/>
        </w:rPr>
        <w:t xml:space="preserve">Prezentarea soiului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2.  </w:t>
      </w:r>
      <w:r>
        <w:rPr>
          <w:color w:val="1F2F26"/>
          <w:sz w:val="19"/>
          <w:szCs w:val="19"/>
        </w:rPr>
        <w:t xml:space="preserve">Descriere agronomică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3.  </w:t>
      </w:r>
      <w:r>
        <w:rPr>
          <w:color w:val="1F2F26"/>
          <w:sz w:val="19"/>
          <w:szCs w:val="19"/>
        </w:rPr>
        <w:t xml:space="preserve">Recomandări tehnologice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4.  </w:t>
      </w:r>
      <w:r>
        <w:rPr>
          <w:color w:val="1F2F26"/>
          <w:sz w:val="19"/>
          <w:szCs w:val="19"/>
        </w:rPr>
        <w:t xml:space="preserve">Protocol de prelevare a probelor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5.  </w:t>
      </w:r>
      <w:r>
        <w:rPr>
          <w:color w:val="1F2F26"/>
          <w:sz w:val="19"/>
          <w:szCs w:val="19"/>
        </w:rPr>
        <w:t xml:space="preserve">Fenofaze de referință (scala BBCH)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6.  </w:t>
      </w:r>
      <w:r>
        <w:rPr>
          <w:color w:val="1F2F26"/>
          <w:sz w:val="19"/>
          <w:szCs w:val="19"/>
        </w:rPr>
        <w:t xml:space="preserve">Valori orientative — referințe agronomice ale speciei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7.  </w:t>
      </w:r>
      <w:r>
        <w:rPr>
          <w:color w:val="1F2F26"/>
          <w:sz w:val="19"/>
          <w:szCs w:val="19"/>
        </w:rPr>
        <w:t xml:space="preserve">Simptome de carență, exces și impact asupra producției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8.  </w:t>
      </w:r>
      <w:r>
        <w:rPr>
          <w:color w:val="1F2F26"/>
          <w:sz w:val="19"/>
          <w:szCs w:val="19"/>
        </w:rPr>
        <w:t xml:space="preserve">Întrebări frecvente despre soiul Velnița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9.  </w:t>
      </w:r>
      <w:r>
        <w:rPr>
          <w:color w:val="1F2F26"/>
          <w:sz w:val="19"/>
          <w:szCs w:val="19"/>
        </w:rPr>
        <w:t xml:space="preserve">Surse &amp; referințe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10.  </w:t>
      </w:r>
      <w:r>
        <w:rPr>
          <w:color w:val="1F2F26"/>
          <w:sz w:val="19"/>
          <w:szCs w:val="19"/>
        </w:rPr>
        <w:t xml:space="preserve">Istoric versiuni</w:t>
      </w:r>
    </w:p>
    <w:p>
      <w:r>
        <w:br w:type="page"/>
      </w:r>
    </w:p>
    <w:p>
      <w:pPr>
        <w:pStyle w:val="Heading1"/>
        <w:spacing w:after="160" w:before="320"/>
      </w:pPr>
      <w:r>
        <w:rPr>
          <w:b/>
          <w:bCs/>
          <w:color w:val="1F2F26"/>
          <w:sz w:val="28"/>
          <w:szCs w:val="28"/>
        </w:rPr>
        <w:t xml:space="preserve">Prezentarea soiului</w:t>
      </w:r>
    </w:p>
    <w:p>
      <w:pPr>
        <w:spacing w:after="60"/>
      </w:pPr>
      <w:r>
        <w:rPr>
          <w:b/>
          <w:bCs/>
          <w:color w:val="5A6B60"/>
          <w:sz w:val="20"/>
          <w:szCs w:val="20"/>
        </w:rPr>
        <w:t xml:space="preserve">Cultura: </w:t>
      </w:r>
      <w:r>
        <w:rPr>
          <w:color w:val="1F2F26"/>
          <w:sz w:val="20"/>
          <w:szCs w:val="20"/>
        </w:rPr>
        <w:t xml:space="preserve">Nuc (Juglans regia)</w:t>
      </w:r>
    </w:p>
    <w:p>
      <w:pPr>
        <w:spacing w:after="60"/>
      </w:pPr>
      <w:r>
        <w:rPr>
          <w:b/>
          <w:bCs/>
          <w:color w:val="5A6B60"/>
          <w:sz w:val="20"/>
          <w:szCs w:val="20"/>
        </w:rPr>
        <w:t xml:space="preserve">Soiul: </w:t>
      </w:r>
      <w:r>
        <w:rPr>
          <w:color w:val="1F2F26"/>
          <w:sz w:val="20"/>
          <w:szCs w:val="20"/>
        </w:rPr>
        <w:t xml:space="preserve">Velnița</w:t>
      </w:r>
    </w:p>
    <w:p>
      <w:pPr>
        <w:spacing w:after="60"/>
      </w:pPr>
      <w:r>
        <w:rPr>
          <w:b/>
          <w:bCs/>
          <w:color w:val="5A6B60"/>
          <w:sz w:val="20"/>
          <w:szCs w:val="20"/>
        </w:rPr>
        <w:t xml:space="preserve">Origine: </w:t>
      </w:r>
      <w:r>
        <w:rPr>
          <w:color w:val="1F2F26"/>
          <w:sz w:val="20"/>
          <w:szCs w:val="20"/>
        </w:rPr>
        <w:t xml:space="preserve">România</w:t>
      </w:r>
    </w:p>
    <w:p>
      <w:pPr>
        <w:spacing w:after="60"/>
      </w:pPr>
      <w:r>
        <w:rPr>
          <w:b/>
          <w:bCs/>
          <w:color w:val="5A6B60"/>
          <w:sz w:val="20"/>
          <w:szCs w:val="20"/>
        </w:rPr>
        <w:t xml:space="preserve">Caracterizare scurtă: </w:t>
      </w:r>
      <w:r>
        <w:rPr>
          <w:color w:val="1F2F26"/>
          <w:sz w:val="20"/>
          <w:szCs w:val="20"/>
        </w:rPr>
        <w:t xml:space="preserve">Soi românesc, productiv</w:t>
      </w:r>
    </w:p>
    <w:p>
      <w:pPr>
        <w:spacing w:after="120"/>
      </w:pPr>
      <w:r>
        <w:rPr>
          <w:color w:val="1F2F26"/>
          <w:sz w:val="20"/>
          <w:szCs w:val="20"/>
        </w:rPr>
        <w:t xml:space="preserve">Velnița este un soi românesc productiv, adaptat condițiilor locale de cultură, potrivit pentru plantațiile comerciale și familiale din România.</w:t>
      </w:r>
    </w:p>
    <w:p>
      <w:pPr>
        <w:pStyle w:val="Heading2"/>
        <w:spacing w:after="100" w:before="200"/>
      </w:pPr>
      <w:r>
        <w:rPr>
          <w:b/>
          <w:bCs/>
          <w:color w:val="198754"/>
          <w:sz w:val="22"/>
          <w:szCs w:val="22"/>
        </w:rPr>
        <w:t xml:space="preserve">Caracteristici principale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1F2F26"/>
          <w:sz w:val="20"/>
          <w:szCs w:val="20"/>
        </w:rPr>
        <w:t xml:space="preserve">Soi autohton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1F2F26"/>
          <w:sz w:val="20"/>
          <w:szCs w:val="20"/>
        </w:rPr>
        <w:t xml:space="preserve">Productiv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1F2F26"/>
          <w:sz w:val="20"/>
          <w:szCs w:val="20"/>
        </w:rPr>
        <w:t xml:space="preserve">Adaptat condițiilor locale</w:t>
      </w:r>
    </w:p>
    <w:p>
      <w:pPr>
        <w:pStyle w:val="Heading1"/>
        <w:spacing w:after="160" w:before="320"/>
      </w:pPr>
      <w:r>
        <w:rPr>
          <w:b/>
          <w:bCs/>
          <w:color w:val="1F2F26"/>
          <w:sz w:val="28"/>
          <w:szCs w:val="28"/>
        </w:rPr>
        <w:t xml:space="preserve">Descriere agronomică</w:t>
      </w:r>
    </w:p>
    <w:p>
      <w:pPr>
        <w:pStyle w:val="Heading2"/>
        <w:spacing w:after="100" w:before="200"/>
      </w:pPr>
      <w:r>
        <w:rPr>
          <w:b/>
          <w:bCs/>
          <w:color w:val="198754"/>
          <w:sz w:val="22"/>
          <w:szCs w:val="22"/>
        </w:rPr>
        <w:t xml:space="preserve">1. Descrierea soiului Velnița și particularități agronomice</w:t>
      </w:r>
    </w:p>
    <w:p>
      <w:r>
        <w:br w:type="page"/>
      </w:r>
    </w:p>
    <w:p>
      <w:pPr>
        <w:spacing w:after="240" w:before="1800"/>
        <w:jc w:val="center"/>
      </w:pPr>
      <w:r>
        <w:rPr>
          <w:sz w:val="72"/>
          <w:szCs w:val="72"/>
        </w:rPr>
        <w:t xml:space="preserve">🔒</w:t>
      </w:r>
    </w:p>
    <w:p>
      <w:pPr>
        <w:spacing w:after="240"/>
        <w:jc w:val="center"/>
      </w:pPr>
      <w:r>
        <w:rPr>
          <w:b/>
          <w:bCs/>
          <w:color w:val="1F2F26"/>
          <w:sz w:val="30"/>
          <w:szCs w:val="30"/>
        </w:rPr>
        <w:t xml:space="preserve">Accesul complet la acest document este disponibil doar în varianta integrală.</w:t>
      </w:r>
    </w:p>
    <w:p>
      <w:pPr>
        <w:spacing w:after="240"/>
        <w:jc w:val="center"/>
      </w:pPr>
      <w:r>
        <w:rPr>
          <w:color w:val="5A6B60"/>
          <w:sz w:val="22"/>
          <w:szCs w:val="22"/>
        </w:rPr>
        <w:t xml:space="preserve">Acesta reprezintă un material tehnic profesional elaborat de echipa EDTA Plant și conține informații complete privind metodologia, interpretarea rezultatelor, recomandările tehnice și valorile de referință.</w:t>
      </w:r>
    </w:p>
    <w:p>
      <w:pPr>
        <w:spacing w:after="360"/>
        <w:jc w:val="center"/>
      </w:pPr>
      <w:r>
        <w:rPr>
          <w:b/>
          <w:bCs/>
          <w:color w:val="198754"/>
          <w:sz w:val="24"/>
          <w:szCs w:val="24"/>
        </w:rPr>
        <w:t xml:space="preserve">📩 Versiunea completă poate fi achiziționată online, direct de pe edtaplant.ro — acces instantaneu după confirmarea plății.</w:t>
      </w:r>
    </w:p>
    <w:p>
      <w:pPr>
        <w:jc w:val="center"/>
      </w:pPr>
      <w:r>
        <w:rPr>
          <w:color w:val="5A6B60"/>
          <w:sz w:val="20"/>
          <w:szCs w:val="20"/>
        </w:rPr>
        <w:t xml:space="preserve">Consultanță · Nutriția plantelor 0729 857 947   ·   Suport tehnic 0723 595 983   ·   edtaplant.ro/contact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F26"/>
        <w:sz w:val="20"/>
        <w:szCs w:val="20"/>
      </w:rPr>
    </w:rPrDefault>
    <w:pPrDefault>
      <w:pPr>
        <w:spacing w:after="12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198754" w:sz="4"/>
      </w:pBdr>
      <w:spacing w:after="140" w:before="280"/>
    </w:pPr>
    <w:rPr>
      <w:b/>
      <w:bCs/>
      <w:color w:val="1F2F26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00" w:before="200"/>
    </w:pPr>
    <w:rPr>
      <w:b/>
      <w:bCs/>
      <w:color w:val="198754"/>
      <w:sz w:val="22"/>
      <w:szCs w:val="22"/>
    </w:rPr>
  </w:style>
  <w:style w:type="paragraph" w:styleId="Heading3">
    <w:name w:val="Heading 3"/>
    <w:basedOn w:val="Normal"/>
    <w:next w:val="Normal"/>
    <w:qFormat/>
    <w:pPr>
      <w:spacing w:after="60" w:before="140"/>
    </w:pPr>
    <w:rPr>
      <w:b/>
      <w:bCs/>
      <w:color w:val="0F5C3F"/>
      <w:sz w:val="19"/>
      <w:szCs w:val="19"/>
    </w:rPr>
  </w:style>
  <w:style w:type="paragraph" w:styleId="Normal">
    <w:name w:val="Normal"/>
    <w:pPr>
      <w:spacing w:after="80" w:line="276" w:lineRule="auto"/>
      <w:jc w:val="both"/>
    </w:pPr>
    <w:rPr>
      <w:rFonts w:ascii="Calibri" w:cs="Calibri" w:eastAsia="Calibri" w:hAnsi="Calibri"/>
      <w:color w:val="1F2F26"/>
      <w:sz w:val="18"/>
      <w:szCs w:val="18"/>
    </w:rPr>
  </w:style>
  <w:style w:type="paragraph" w:styleId="Caption">
    <w:name w:val="Caption"/>
    <w:basedOn w:val="Normal"/>
    <w:pPr>
      <w:spacing w:after="120" w:before="60"/>
      <w:jc w:val="center"/>
    </w:pPr>
    <w:rPr>
      <w:i/>
      <w:iCs/>
      <w:color w:val="5A6B60"/>
      <w:sz w:val="16"/>
      <w:szCs w:val="16"/>
    </w:rPr>
  </w:style>
  <w:style w:type="paragraph" w:styleId="TableHeader">
    <w:name w:val="Table Header"/>
    <w:basedOn w:val="Normal"/>
    <w:pPr>
      <w:spacing w:after="0"/>
    </w:pPr>
    <w:rPr>
      <w:b/>
      <w:bCs/>
      <w:color w:val="FFFFFF"/>
      <w:sz w:val="17"/>
      <w:szCs w:val="17"/>
    </w:rPr>
  </w:style>
  <w:style w:type="paragraph" w:styleId="TableCell">
    <w:name w:val="Table Cell"/>
    <w:basedOn w:val="Normal"/>
    <w:pPr>
      <w:spacing w:after="0"/>
    </w:pPr>
    <w:rPr>
      <w:color w:val="1F2F26"/>
      <w:sz w:val="17"/>
      <w:szCs w:val="17"/>
    </w:rPr>
  </w:style>
  <w:style w:type="paragraph" w:styleId="FooterText">
    <w:name w:val="Footer Text"/>
    <w:basedOn w:val="Normal"/>
    <w:pPr>
      <w:spacing w:after="0"/>
      <w:jc w:val="left"/>
    </w:pPr>
    <w:rPr>
      <w:color w:val="5A6B60"/>
      <w:sz w:val="15"/>
      <w:szCs w:val="15"/>
    </w:rPr>
  </w:style>
  <w:style w:type="paragraph" w:styleId="EditorialBox">
    <w:name w:val="Editorial Box"/>
    <w:basedOn w:val="Normal"/>
    <w:pPr>
      <w:pBdr>
        <w:left w:val="thick" w:color="198754" w:sz="12"/>
      </w:pBdr>
      <w:shd w:color="EEF5F0" w:val="solid"/>
      <w:spacing w:after="60" w:before="60"/>
      <w:ind w:left="340"/>
    </w:pPr>
    <w:rPr>
      <w:color w:val="1F2F26"/>
      <w:sz w:val="18"/>
      <w:szCs w:val="1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Ghid tehnic de analiză foliară — Nuc soiul Velnița</dc:title>
  <dc:subject>Nuc soiul Velnița</dc:subject>
  <dc:creator>EDTA Plant</dc:creator>
  <cp:keywords>EDTA Plant, edtaplant.ro</cp:keywords>
  <cp:lastModifiedBy>EDTA Plant</cp:lastModifiedBy>
  <cp:revision>1</cp:revision>
  <dcterms:created xsi:type="dcterms:W3CDTF">2026-10-14T16:33:35.357Z</dcterms:created>
  <dcterms:modified xsi:type="dcterms:W3CDTF">2026-10-14T16:33:35.357Z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