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Serr</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Serr</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Serr</w:t>
      </w:r>
    </w:p>
    <w:p>
      <w:pPr>
        <w:spacing w:after="60"/>
      </w:pPr>
      <w:r>
        <w:rPr>
          <w:b/>
          <w:bCs/>
          <w:color w:val="5A6B60"/>
          <w:sz w:val="20"/>
          <w:szCs w:val="20"/>
        </w:rPr>
        <w:t xml:space="preserve">Origine: </w:t>
      </w:r>
      <w:r>
        <w:rPr>
          <w:color w:val="1F2F26"/>
          <w:sz w:val="20"/>
          <w:szCs w:val="20"/>
        </w:rPr>
        <w:t xml:space="preserve">Statele Unite</w:t>
      </w:r>
    </w:p>
    <w:p>
      <w:pPr>
        <w:spacing w:after="60"/>
      </w:pPr>
      <w:r>
        <w:rPr>
          <w:b/>
          <w:bCs/>
          <w:color w:val="5A6B60"/>
          <w:sz w:val="20"/>
          <w:szCs w:val="20"/>
        </w:rPr>
        <w:t xml:space="preserve">Caracterizare scurtă: </w:t>
      </w:r>
      <w:r>
        <w:rPr>
          <w:color w:val="1F2F26"/>
          <w:sz w:val="20"/>
          <w:szCs w:val="20"/>
        </w:rPr>
        <w:t xml:space="preserve">Soi american, vigoare mare</w:t>
      </w:r>
    </w:p>
    <w:p>
      <w:pPr>
        <w:spacing w:after="120"/>
      </w:pPr>
      <w:r>
        <w:rPr>
          <w:color w:val="1F2F26"/>
          <w:sz w:val="20"/>
          <w:szCs w:val="20"/>
        </w:rPr>
        <w:t xml:space="preserve">Serr este un soi american viguros, cu înfrunzire timpurie. Necesită gestionarea atentă a polenizării, deoarece excesul de polen poate reduce legarea fructelor.</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Vigoare mare</w:t>
      </w:r>
    </w:p>
    <w:p>
      <w:pPr>
        <w:pStyle w:val="ListParagraph"/>
        <w:numPr>
          <w:ilvl w:val="0"/>
          <w:numId w:val="1"/>
        </w:numPr>
        <w:spacing w:after="60"/>
      </w:pPr>
      <w:r>
        <w:rPr>
          <w:color w:val="1F2F26"/>
          <w:sz w:val="20"/>
          <w:szCs w:val="20"/>
        </w:rPr>
        <w:t xml:space="preserve">Înfrunzire timpurie</w:t>
      </w:r>
    </w:p>
    <w:p>
      <w:pPr>
        <w:pStyle w:val="ListParagraph"/>
        <w:numPr>
          <w:ilvl w:val="0"/>
          <w:numId w:val="1"/>
        </w:numPr>
        <w:spacing w:after="60"/>
      </w:pPr>
      <w:r>
        <w:rPr>
          <w:color w:val="1F2F26"/>
          <w:sz w:val="20"/>
          <w:szCs w:val="20"/>
        </w:rPr>
        <w:t xml:space="preserve">Sensibil la excesul de polen</w:t>
      </w:r>
    </w:p>
    <w:p>
      <w:pPr>
        <w:pStyle w:val="ListParagraph"/>
        <w:numPr>
          <w:ilvl w:val="0"/>
          <w:numId w:val="1"/>
        </w:numPr>
        <w:spacing w:after="60"/>
      </w:pPr>
      <w:r>
        <w:rPr>
          <w:color w:val="1F2F26"/>
          <w:sz w:val="20"/>
          <w:szCs w:val="20"/>
        </w:rPr>
        <w:t xml:space="preserve">Miez de calitate</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Serr și particularități agronomice</w:t>
      </w:r>
    </w:p>
    <w:p>
      <w:pPr>
        <w:spacing w:after="120"/>
      </w:pPr>
      <w:r>
        <w:rPr>
          <w:color w:val="1F2F26"/>
          <w:sz w:val="20"/>
          <w:szCs w:val="20"/>
        </w:rPr>
        <w:t xml:space="preserve">‘Serr’ este un soi de nuc (Juglans regia) obținut în programul de ameliorare al Universității California, Davis (Serr &amp; Forde). Pornește devreme în vegetație (cca. 1 zi înaintea soiului Payne), are fructificare laterală moderată (30–50% muguri laterali fertili) și este un pom viguros. Caracteristica sa distinctivă este sensibilitatea la avortarea florilor femele (pistillate flower abscission, PFA), fenomen care îi poate reduce producția mai mult decât la alte soiuri. Polenizatori recomandați: Chico, Tehama.</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UC Davis (programul Serr &amp; Forde)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Timpurie (cca. 1 zi înaintea soiului Payne)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Protandrică; polenizatori Chico, Tehama; sensibil la avortarea florilor femele (PFA)</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Laterală moderată (30–50% muguri laterali fertili)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Timpurie spre mijlocie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mare; miez de calitate bună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Ridicată (pom viguros)</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Moderat</w:t>
            </w:r>
          </w:p>
        </w:tc>
      </w:tr>
    </w:tbl>
    <w:p>
      <w:pPr>
        <w:spacing w:after="120"/>
      </w:pPr>
    </w:p>
    <w:p>
      <w:pPr>
        <w:pStyle w:val="Heading2"/>
        <w:spacing w:after="100" w:before="200"/>
      </w:pPr>
      <w:r>
        <w:rPr>
          <w:b/>
          <w:bCs/>
          <w:color w:val="198754"/>
          <w:sz w:val="22"/>
          <w:szCs w:val="22"/>
        </w:rPr>
        <w:t xml:space="preserve">1.2. Implicații nutriționale ale particularităților Serr</w:t>
      </w:r>
    </w:p>
    <w:p>
      <w:pPr>
        <w:spacing w:after="120"/>
      </w:pPr>
      <w:r>
        <w:rPr>
          <w:color w:val="1F2F26"/>
          <w:sz w:val="20"/>
          <w:szCs w:val="20"/>
        </w:rPr>
        <w:t xml:space="preserve">Sensibilitate la PFA — avortarea florilor femele (pistillate flower abscission) reduce legarea; fenomenul este agravat de vigoarea excesivă, astfel încât un aport de azot care întreține creșterea vegetativă exuberantă trebuie evitat; echilibrul N este deosebit de important la Serr.</w:t>
      </w:r>
    </w:p>
    <w:p>
      <w:pPr>
        <w:spacing w:after="120"/>
      </w:pPr>
      <w:r>
        <w:rPr>
          <w:color w:val="1F2F26"/>
          <w:sz w:val="20"/>
          <w:szCs w:val="20"/>
        </w:rPr>
        <w:t xml:space="preserve">Fenologie timpurie — pornirea cu cca. 1 zi înaintea soiului Payne crește expunerea la înghețurile târzii și la bacterioza nucului (Xanthomonas arboricola pv. juglandis), ceea ce poate influența indirect starea foliajului analizat.</w:t>
      </w:r>
    </w:p>
    <w:p>
      <w:pPr>
        <w:spacing w:after="120"/>
      </w:pPr>
      <w:r>
        <w:rPr>
          <w:color w:val="1F2F26"/>
          <w:sz w:val="20"/>
          <w:szCs w:val="20"/>
        </w:rPr>
        <w:t xml:space="preserve">Fructificare laterală moderată — cu 30–50% muguri laterali fertili, cererea de K și N în faza de umplere a miezului este mai moderată decât la soiurile hiperlaterale; nutriția echilibrată rămâne însă necesară.</w:t>
      </w:r>
    </w:p>
    <w:p>
      <w:pPr>
        <w:spacing w:after="120"/>
      </w:pPr>
      <w:r>
        <w:rPr>
          <w:color w:val="1F2F26"/>
          <w:sz w:val="20"/>
          <w:szCs w:val="20"/>
        </w:rPr>
        <w:t xml:space="preserve">Portaltoi și blackline — altoit pe portaltoi sensibili,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Serr.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Serr. Standardele de interpretare (carență / optim / exces) utilizate în acest ghid sunt cele generale pentru Juglans regia, stabilite de Universitatea California (UC ANR / UC Davis) și de programul de fertilizare CDFA-FREP. Ele se aplică soiului Serr ca recomandări generale pentru specie și sunt marcate explicit ca atare în text. Particularitățile Serr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Serr), nu validate separat pentru Serr.</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Serr, care pornește devreme (cca. 1 zi înaintea soiului Payne), frunzele ating maturitatea mai devreme, dar fereastra de prelevare din iulie rămâne reperul standard.</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Serr,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Serr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Serr</w:t>
      </w:r>
    </w:p>
    <w:p>
      <w:pPr>
        <w:pStyle w:val="Heading2"/>
        <w:spacing w:after="100" w:before="200"/>
      </w:pPr>
      <w:r>
        <w:rPr>
          <w:b/>
          <w:bCs/>
          <w:color w:val="198754"/>
          <w:sz w:val="22"/>
          <w:szCs w:val="22"/>
        </w:rPr>
        <w:t xml:space="preserve">6. Diferențe față de recomandările generale Juglans regia și sensibilități Serr</w:t>
      </w:r>
    </w:p>
    <w:p>
      <w:pPr>
        <w:spacing w:after="120"/>
      </w:pPr>
      <w:r>
        <w:rPr>
          <w:color w:val="1F2F26"/>
          <w:sz w:val="20"/>
          <w:szCs w:val="20"/>
        </w:rPr>
        <w:t xml:space="preserve">În literatura științifică verificabilă NU există praguri de interpretare a țesutului foliar demonstrate ca fiind diferite pentru Serr față de Juglans regia. Prin urmare, în acest ghid nu se introduc praguri „specifice Serr”; se folosesc standardele generale pentru specie. Diferențele reale, demonstrate, sunt de ordin agronomic și de management, nu de praguri de interpretare:</w:t>
      </w:r>
    </w:p>
    <w:p>
      <w:pPr>
        <w:spacing w:after="120"/>
      </w:pPr>
      <w:r>
        <w:rPr>
          <w:color w:val="1F2F26"/>
          <w:sz w:val="20"/>
          <w:szCs w:val="20"/>
        </w:rPr>
        <w:t xml:space="preserve">Sensibilitate la PFA — avortarea florilor femele este mai severă la Serr decât la alte soiuri; vigoarea excesivă (inclusiv din exces de azot) o poate accentua, deci un N foliar spre limita superioară se interpretează cu prudență la acest soi.</w:t>
      </w:r>
    </w:p>
    <w:p>
      <w:pPr>
        <w:spacing w:after="120"/>
      </w:pPr>
      <w:r>
        <w:rPr>
          <w:color w:val="1F2F26"/>
          <w:sz w:val="20"/>
          <w:szCs w:val="20"/>
        </w:rPr>
        <w:t xml:space="preserve">Fenologie timpurie — pornirea devreme crește expunerea la înghețuri târzii și bacterioză; acestea influențează starea foliajului, dar nu modifică pragurile de interpretare.</w:t>
      </w:r>
    </w:p>
    <w:p>
      <w:pPr>
        <w:spacing w:after="120"/>
      </w:pPr>
      <w:r>
        <w:rPr>
          <w:color w:val="1F2F26"/>
          <w:sz w:val="20"/>
          <w:szCs w:val="20"/>
        </w:rPr>
        <w:t xml:space="preserve">Cerere nutrițională moderată — fructificarea laterală de 30–50% implică o cerere de K și N mai puțin intensă decât la soiurile hiperlaterale (Chandler, Howard, Fernor).</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Regulă internă EDTA Plant: orice prag prezentat ca „specific Serr”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Serr</w:t>
      </w:r>
    </w:p>
    <w:p>
      <w:pPr>
        <w:pStyle w:val="Heading2"/>
        <w:spacing w:after="100" w:before="200"/>
      </w:pPr>
      <w:r>
        <w:rPr>
          <w:b/>
          <w:bCs/>
          <w:color w:val="198754"/>
          <w:sz w:val="22"/>
          <w:szCs w:val="22"/>
        </w:rPr>
        <w:t xml:space="preserve">Cum influențează sensibilitatea la avortarea florilor femele (PFA) nutriția azotată la Serr?</w:t>
      </w:r>
    </w:p>
    <w:p>
      <w:pPr>
        <w:spacing w:after="120"/>
      </w:pPr>
      <w:r>
        <w:rPr>
          <w:color w:val="1F2F26"/>
          <w:sz w:val="20"/>
          <w:szCs w:val="20"/>
        </w:rPr>
        <w:t xml:space="preserve">La Serr, avortarea florilor femele (pistillate flower abscission) reduce legarea fructelor, iar fenomenul este agravat de vigoarea excesivă. De aceea un aport de azot care întreține o creștere vegetativă exuberantă trebuie gestionat cu prudență; valorile de azot din analiza foliară se interpretează în corelare cu vigoarea observată în câmp și cu legarea fructelor.</w:t>
      </w:r>
    </w:p>
    <w:p>
      <w:pPr>
        <w:pStyle w:val="Heading2"/>
        <w:spacing w:after="100" w:before="200"/>
      </w:pPr>
      <w:r>
        <w:rPr>
          <w:b/>
          <w:bCs/>
          <w:color w:val="198754"/>
          <w:sz w:val="22"/>
          <w:szCs w:val="22"/>
        </w:rPr>
        <w:t xml:space="preserve">Ce risc aduce înfrunzirea timpurie a soiului Serr?</w:t>
      </w:r>
    </w:p>
    <w:p>
      <w:pPr>
        <w:spacing w:after="120"/>
      </w:pPr>
      <w:r>
        <w:rPr>
          <w:color w:val="1F2F26"/>
          <w:sz w:val="20"/>
          <w:szCs w:val="20"/>
        </w:rPr>
        <w:t xml:space="preserve">Pornind devreme în vegetație, aproximativ cu o zi înaintea soiului Payne, Serr este mai expus înghețurilor de primăvară. Acest lucru nu schimbă fereastra de prelevare foliară din iulie, dar accentuează importanța corelării rezultatelor cu evenimentele meteo și cu starea reală a plantației.</w:t>
      </w:r>
    </w:p>
    <w:p>
      <w:pPr>
        <w:pStyle w:val="Heading2"/>
        <w:spacing w:after="100" w:before="200"/>
      </w:pPr>
      <w:r>
        <w:rPr>
          <w:b/>
          <w:bCs/>
          <w:color w:val="198754"/>
          <w:sz w:val="22"/>
          <w:szCs w:val="22"/>
        </w:rPr>
        <w:t xml:space="preserve">Se aplică praguri foliare distincte pentru Serr, dat fiind vigoarea sa mare?</w:t>
      </w:r>
    </w:p>
    <w:p>
      <w:pPr>
        <w:spacing w:after="120"/>
      </w:pPr>
      <w:r>
        <w:rPr>
          <w:color w:val="1F2F26"/>
          <w:sz w:val="20"/>
          <w:szCs w:val="20"/>
        </w:rPr>
        <w:t xml:space="preserve">Nu. Deși Serr este un soi viguros, nu există în literatura verificabilă praguri de interpretare demonstrate ca fiind diferite față de Juglans regia. Se folosesc pragurile UC la nivel de specie; particularitatea soiului intervine în interpretarea azotului în raport cu vigoarea și cu riscul de PFA.</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Serr</w:t>
      </w:r>
    </w:p>
    <w:p>
      <w:pPr>
        <w:pStyle w:val="ListParagraph"/>
        <w:numPr>
          <w:ilvl w:val="0"/>
          <w:numId w:val="1"/>
        </w:numPr>
        <w:spacing w:after="60"/>
      </w:pPr>
      <w:r>
        <w:rPr>
          <w:color w:val="1F2F26"/>
          <w:sz w:val="20"/>
          <w:szCs w:val="20"/>
        </w:rPr>
        <w:t xml:space="preserve">California Crop Fertilization Guidelines – Walnut — </w:t>
      </w:r>
      <w:hyperlink w:history="1" r:id="rId5egnmrbbft72-bw7a9xbe">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evsb7f3m1eqlkuwkqp4ns">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poumedbdn8f0sp5adoji">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kxzbpeejdhuaevmmhbxyd">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pbrzvztsj6t8zuxmlqq5v">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pci1nwvp-li6nku7r1iwy">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v06wkktw55ou6-mhdzhzn">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_yut57jhcpz2q1b2mkumr">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ob17ijeh6gl61jycm9khj">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psvap40rfzj6yk7mtzyva">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o1pjhp7_vxihxup10sw1r">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q4wgjzrn3ktvkn9ukhea3">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Walnut Varieties – Serr (fișă de soi) — </w:t>
      </w:r>
      <w:hyperlink w:history="1" r:id="rIdg48-i7es0wuifn_wosgsc">
        <w:r>
          <w:rPr>
            <w:color w:val="198754"/>
            <w:sz w:val="20"/>
            <w:szCs w:val="20"/>
            <w:u w:val="single"/>
          </w:rPr>
          <w:t xml:space="preserve">https://www.sierragoldtrees.com/walnut-varieties</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5egnmrbbft72-bw7a9xbe" Type="http://schemas.openxmlformats.org/officeDocument/2006/relationships/hyperlink" Target="https://www.cdfa.ca.gov/is/ffldrs/frep/FertilizationGuidelines/Walnut.html" TargetMode="External"/><Relationship Id="rIdevsb7f3m1eqlkuwkqp4ns" Type="http://schemas.openxmlformats.org/officeDocument/2006/relationships/hyperlink" Target="http://geisseler.ucdavis.edu/Guidelines/Walnut.html" TargetMode="External"/><Relationship Id="rId-poumedbdn8f0sp5adoji" Type="http://schemas.openxmlformats.org/officeDocument/2006/relationships/hyperlink" Target="https://ucanr.edu/sites/default/files/2013-02/161801.pdf" TargetMode="External"/><Relationship Id="rIdkxzbpeejdhuaevmmhbxyd" Type="http://schemas.openxmlformats.org/officeDocument/2006/relationships/hyperlink" Target="https://anrcatalog.ucanr.edu/Details.aspx?itemNo=3373" TargetMode="External"/><Relationship Id="rIdpbrzvztsj6t8zuxmlqq5v" Type="http://schemas.openxmlformats.org/officeDocument/2006/relationships/hyperlink" Target="https://apps1.cdfa.ca.gov/FertilizerResearch/docs/Orchard_Tissue_Sampling.pdf" TargetMode="External"/><Relationship Id="rIdpci1nwvp-li6nku7r1iwy" Type="http://schemas.openxmlformats.org/officeDocument/2006/relationships/hyperlink" Target="https://dellavallelab.com/wp-content/uploads/2022/11/Walnut-Sampling-Guide-Final.pdf" TargetMode="External"/><Relationship Id="rIdv06wkktw55ou6-mhdzhzn" Type="http://schemas.openxmlformats.org/officeDocument/2006/relationships/hyperlink" Target="https://fglinc.com/wordpress/wp-content/uploads/2020/08/Walnut_Leaf_and_Soil.pdf" TargetMode="External"/><Relationship Id="rId_yut57jhcpz2q1b2mkumr" Type="http://schemas.openxmlformats.org/officeDocument/2006/relationships/hyperlink" Target="http://ipm.ucanr.edu/PMG/GARDEN/PLANTS/DISORDERS/zincdeficiency.html" TargetMode="External"/><Relationship Id="rIdob17ijeh6gl61jycm9khj" Type="http://schemas.openxmlformats.org/officeDocument/2006/relationships/hyperlink" Target="https://ipm.ucanr.edu/agriculture/walnut/blackline/" TargetMode="External"/><Relationship Id="rIdpsvap40rfzj6yk7mtzyva" Type="http://schemas.openxmlformats.org/officeDocument/2006/relationships/hyperlink" Target="https://ipm.ucanr.edu/agriculture/walnut/walnut-blight/" TargetMode="External"/><Relationship Id="rIdo1pjhp7_vxihxup10sw1r" Type="http://schemas.openxmlformats.org/officeDocument/2006/relationships/hyperlink" Target="https://ucanr.edu/site/water-resources-management/article/water-quality-technical-note-boron-b" TargetMode="External"/><Relationship Id="rIdq4wgjzrn3ktvkn9ukhea3" Type="http://schemas.openxmlformats.org/officeDocument/2006/relationships/hyperlink" Target="https://pmc.ncbi.nlm.nih.gov/articles/PMC7073067/" TargetMode="External"/><Relationship Id="rIdg48-i7es0wuifn_wosgsc" Type="http://schemas.openxmlformats.org/officeDocument/2006/relationships/hyperlink" Target="https://www.sierragoldtrees.com/walnut-varieties"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Serr</dc:title>
  <dc:creator>EDTA Plant</dc:creator>
  <dc:description>Ghid tehnic de analiză foliară pentru nuc soiul serr, generat din standardele partajate EDTA.</dc:description>
  <cp:lastModifiedBy>Un-named</cp:lastModifiedBy>
  <cp:revision>1</cp:revision>
  <dcterms:created xsi:type="dcterms:W3CDTF">2026-07-14T12:09:32.677Z</dcterms:created>
  <dcterms:modified xsi:type="dcterms:W3CDTF">2026-07-14T12:09:32.677Z</dcterms:modified>
</cp:coreProperties>
</file>

<file path=docProps/custom.xml><?xml version="1.0" encoding="utf-8"?>
<Properties xmlns="http://schemas.openxmlformats.org/officeDocument/2006/custom-properties" xmlns:vt="http://schemas.openxmlformats.org/officeDocument/2006/docPropsVTypes"/>
</file>