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Lara</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Lara</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Lara</w:t>
      </w:r>
    </w:p>
    <w:p>
      <w:pPr>
        <w:spacing w:after="60"/>
      </w:pPr>
      <w:r>
        <w:rPr>
          <w:b/>
          <w:bCs/>
          <w:color w:val="5A6B60"/>
          <w:sz w:val="20"/>
          <w:szCs w:val="20"/>
        </w:rPr>
        <w:t xml:space="preserve">Origine: </w:t>
      </w:r>
      <w:r>
        <w:rPr>
          <w:color w:val="1F2F26"/>
          <w:sz w:val="20"/>
          <w:szCs w:val="20"/>
        </w:rPr>
        <w:t xml:space="preserve">Franța</w:t>
      </w:r>
    </w:p>
    <w:p>
      <w:pPr>
        <w:spacing w:after="60"/>
      </w:pPr>
      <w:r>
        <w:rPr>
          <w:b/>
          <w:bCs/>
          <w:color w:val="5A6B60"/>
          <w:sz w:val="20"/>
          <w:szCs w:val="20"/>
        </w:rPr>
        <w:t xml:space="preserve">Caracterizare scurtă: </w:t>
      </w:r>
      <w:r>
        <w:rPr>
          <w:color w:val="1F2F26"/>
          <w:sz w:val="20"/>
          <w:szCs w:val="20"/>
        </w:rPr>
        <w:t xml:space="preserve">Soi francez, înflorire timpurie</w:t>
      </w:r>
    </w:p>
    <w:p>
      <w:pPr>
        <w:spacing w:after="120"/>
      </w:pPr>
      <w:r>
        <w:rPr>
          <w:color w:val="1F2F26"/>
          <w:sz w:val="20"/>
          <w:szCs w:val="20"/>
        </w:rPr>
        <w:t xml:space="preserve">Lara este un soi francez cu înflorire timpurie și fructificare laterală, apreciat pentru fructele de dimensiuni mari și pentru intrarea rapidă pe rod.</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laterală</w:t>
      </w:r>
    </w:p>
    <w:p>
      <w:pPr>
        <w:pStyle w:val="ListParagraph"/>
        <w:numPr>
          <w:ilvl w:val="0"/>
          <w:numId w:val="1"/>
        </w:numPr>
        <w:spacing w:after="60"/>
      </w:pPr>
      <w:r>
        <w:rPr>
          <w:color w:val="1F2F26"/>
          <w:sz w:val="20"/>
          <w:szCs w:val="20"/>
        </w:rPr>
        <w:t xml:space="preserve">Înflorire timpurie</w:t>
      </w:r>
    </w:p>
    <w:p>
      <w:pPr>
        <w:pStyle w:val="ListParagraph"/>
        <w:numPr>
          <w:ilvl w:val="0"/>
          <w:numId w:val="1"/>
        </w:numPr>
        <w:spacing w:after="60"/>
      </w:pPr>
      <w:r>
        <w:rPr>
          <w:color w:val="1F2F26"/>
          <w:sz w:val="20"/>
          <w:szCs w:val="20"/>
        </w:rPr>
        <w:t xml:space="preserve">Fructe de dimensiuni mari</w:t>
      </w:r>
    </w:p>
    <w:p>
      <w:pPr>
        <w:pStyle w:val="ListParagraph"/>
        <w:numPr>
          <w:ilvl w:val="0"/>
          <w:numId w:val="1"/>
        </w:numPr>
        <w:spacing w:after="60"/>
      </w:pPr>
      <w:r>
        <w:rPr>
          <w:color w:val="1F2F26"/>
          <w:sz w:val="20"/>
          <w:szCs w:val="20"/>
        </w:rPr>
        <w:t xml:space="preserve">Intrare rapidă pe rod</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Lara și particularități agronomice</w:t>
      </w:r>
    </w:p>
    <w:p>
      <w:pPr>
        <w:spacing w:after="120"/>
      </w:pPr>
      <w:r>
        <w:rPr>
          <w:color w:val="1F2F26"/>
          <w:sz w:val="20"/>
          <w:szCs w:val="20"/>
        </w:rPr>
        <w:t xml:space="preserve">‘Lara’ este un soi francez de nuc (Juglans regia) obținut în cadrul programului de ameliorare INRA de la Bordeaux. Se remarcă prin pornire relativ timpurie spre mijlocie în vegetație, fructificare laterală abundentă și nucă mare, rotunjită, bine sudată, cu miez de calitate. Are o importanță deosebită în ameliorare, fiind folosit ca genitor: din încrucișarea ‘Franquette’ × ‘Lara’ au rezultat soiurile ‘Fernor’ și ‘Fernette’ (1995), iar din ‘Grosvert’ × ‘Lara’ soiul ‘Ferjean’ (1999). Pomul este viguros, precoce (intră devreme pe rod) și productiv.</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Franța (program INRA Bordeaux); soi modern</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Timpurie spre 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Protandră; necesită polenizator</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 abundentă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mare, rotunjită, bine sudată; miez de calitate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Ridicată; intrare precoce pe rod, productiv</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Moderat spre ridicat</w:t>
            </w:r>
          </w:p>
        </w:tc>
      </w:tr>
    </w:tbl>
    <w:p>
      <w:pPr>
        <w:spacing w:after="120"/>
      </w:pPr>
    </w:p>
    <w:p>
      <w:pPr>
        <w:pStyle w:val="Heading2"/>
        <w:spacing w:after="100" w:before="200"/>
      </w:pPr>
      <w:r>
        <w:rPr>
          <w:b/>
          <w:bCs/>
          <w:color w:val="198754"/>
          <w:sz w:val="22"/>
          <w:szCs w:val="22"/>
        </w:rPr>
        <w:t xml:space="preserve">1.2. Implicații nutriționale ale particularităților Lara</w:t>
      </w:r>
    </w:p>
    <w:p>
      <w:pPr>
        <w:spacing w:after="120"/>
      </w:pPr>
      <w:r>
        <w:rPr>
          <w:color w:val="1F2F26"/>
          <w:sz w:val="20"/>
          <w:szCs w:val="20"/>
        </w:rPr>
        <w:t xml:space="preserve">Producție ridicată pe fructificare laterală — încărcătura mare de fructe implică o cerere susținută de potasiu și azot în perioada de umplere a miezului; un K aflat la limita inferioară a intervalului optim trebuie tratat mai atent la un soi atât de productiv.</w:t>
      </w:r>
    </w:p>
    <w:p>
      <w:pPr>
        <w:spacing w:after="120"/>
      </w:pPr>
      <w:r>
        <w:rPr>
          <w:color w:val="1F2F26"/>
          <w:sz w:val="20"/>
          <w:szCs w:val="20"/>
        </w:rPr>
        <w:t xml:space="preserve">Pornire timpurie spre mijlocie — spre deosebire de soiurile foarte târzii (Franquette, Fernor), expunerea la înghețurile târzii și la bacterioza nucului (Xanthomonas arboricola pv. juglandis) este mai mare, ceea ce influențează indirect starea foliajului analizat.</w:t>
      </w:r>
    </w:p>
    <w:p>
      <w:pPr>
        <w:spacing w:after="120"/>
      </w:pPr>
      <w:r>
        <w:rPr>
          <w:color w:val="1F2F26"/>
          <w:sz w:val="20"/>
          <w:szCs w:val="20"/>
        </w:rPr>
        <w:t xml:space="preserve">Vigoare și precocitate — soiul fiind viguros și precoce, echilibrul azotului previne creșterea vegetativă excesivă în detrimentul fructificării.</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Lara.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Lara. Standardele de interpretare (carență / optim / exces) utilizate în acest ghid sunt cele generale pentru Juglans regia, stabilite de Universitatea California (UC ANR / UC Davis) și de programul de fertilizare CDFA-FREP. Ele se aplică soiului Lara ca recomandări generale pentru specie și sunt marcate explicit ca atare în text. Particularitățile Lara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Lara), nu validate separat pentru Lara.</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Lara, care pornește timpuriu spre mijlocul sezonului, frunzele ating maturitatea relativ devreme, dar fereastra de prelevare foliară din iulie rămâne reperul standard.</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Lara,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Lara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Lara</w:t>
      </w:r>
    </w:p>
    <w:p>
      <w:pPr>
        <w:pStyle w:val="Heading2"/>
        <w:spacing w:after="100" w:before="200"/>
      </w:pPr>
      <w:r>
        <w:rPr>
          <w:b/>
          <w:bCs/>
          <w:color w:val="198754"/>
          <w:sz w:val="22"/>
          <w:szCs w:val="22"/>
        </w:rPr>
        <w:t xml:space="preserve">6. Diferențe față de recomandările generale Juglans regia și sensibilități Lara</w:t>
      </w:r>
    </w:p>
    <w:p>
      <w:pPr>
        <w:spacing w:after="120"/>
      </w:pPr>
      <w:r>
        <w:rPr>
          <w:color w:val="1F2F26"/>
          <w:sz w:val="20"/>
          <w:szCs w:val="20"/>
        </w:rPr>
        <w:t xml:space="preserve">În literatura științifică verificabilă NU există praguri de interpretare a țesutului foliar demonstrate ca fiind diferite pentru Lara față de Juglans regia. Prin urmare, în acest ghid nu se introduc praguri „specifice Lara”;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ridicată — datorită fructificării laterale abundente și producției mari, Lara are o cerere susținută de K și N în faza de umplere a miezului; un K „la limita inferioară” a intervalului optim trebuie tratat mai atent la un soi atât de productiv.</w:t>
      </w:r>
    </w:p>
    <w:p>
      <w:pPr>
        <w:spacing w:after="120"/>
      </w:pPr>
      <w:r>
        <w:rPr>
          <w:color w:val="1F2F26"/>
          <w:sz w:val="20"/>
          <w:szCs w:val="20"/>
        </w:rPr>
        <w:t xml:space="preserve">Pornire timpurie spre mijlocie — expunere mai mare la înghețuri târzii și bacterioză decât la soiurile foarte târzii; se confirmă vizual maturitatea frunzelor înainte de prelevarea din iulie.</w:t>
      </w:r>
    </w:p>
    <w:p>
      <w:pPr>
        <w:spacing w:after="120"/>
      </w:pPr>
      <w:r>
        <w:rPr>
          <w:color w:val="1F2F26"/>
          <w:sz w:val="20"/>
          <w:szCs w:val="20"/>
        </w:rPr>
        <w:t xml:space="preserve">Vigoare și precocitate — echilibrul N previne creșterea vegetativă excesivă în detrimentul rodirii.</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Lara”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Lara</w:t>
      </w:r>
    </w:p>
    <w:p>
      <w:pPr>
        <w:pStyle w:val="Heading2"/>
        <w:spacing w:after="100" w:before="200"/>
      </w:pPr>
      <w:r>
        <w:rPr>
          <w:b/>
          <w:bCs/>
          <w:color w:val="198754"/>
          <w:sz w:val="22"/>
          <w:szCs w:val="22"/>
        </w:rPr>
        <w:t xml:space="preserve">Cum se gestionează nutriția la Lara, care intră rapid pe rod?</w:t>
      </w:r>
    </w:p>
    <w:p>
      <w:pPr>
        <w:spacing w:after="120"/>
      </w:pPr>
      <w:r>
        <w:rPr>
          <w:color w:val="1F2F26"/>
          <w:sz w:val="20"/>
          <w:szCs w:val="20"/>
        </w:rPr>
        <w:t xml:space="preserve">Intrarea rapidă pe rod și fructificarea laterală abundentă fac ca Lara să solicite timpuriu potasiu și azot pentru umplerea miezului. La pomii tineri intrați devreme în producție, o valoare de potasiu la limita inferioară a intervalului optim trebuie urmărită atent și corelată cu încărcătura de fructe și cu ritmul de creștere.</w:t>
      </w:r>
    </w:p>
    <w:p>
      <w:pPr>
        <w:pStyle w:val="Heading2"/>
        <w:spacing w:after="100" w:before="200"/>
      </w:pPr>
      <w:r>
        <w:rPr>
          <w:b/>
          <w:bCs/>
          <w:color w:val="198754"/>
          <w:sz w:val="22"/>
          <w:szCs w:val="22"/>
        </w:rPr>
        <w:t xml:space="preserve">Ce risc implică înflorirea timpurie a soiului Lara?</w:t>
      </w:r>
    </w:p>
    <w:p>
      <w:pPr>
        <w:spacing w:after="120"/>
      </w:pPr>
      <w:r>
        <w:rPr>
          <w:color w:val="1F2F26"/>
          <w:sz w:val="20"/>
          <w:szCs w:val="20"/>
        </w:rPr>
        <w:t xml:space="preserve">Pornirea relativ timpurie spre mijlocie în vegetație expune Lara mai mult la înghețurile de primăvară față de soiurile foarte târzii. Acest aspect nu modifică fereastra de prelevare foliară din iulie, dar impune corelarea rezultatelor analizei cu evenimentele meteo și cu starea reală a plantației.</w:t>
      </w:r>
    </w:p>
    <w:p>
      <w:pPr>
        <w:pStyle w:val="Heading2"/>
        <w:spacing w:after="100" w:before="200"/>
      </w:pPr>
      <w:r>
        <w:rPr>
          <w:b/>
          <w:bCs/>
          <w:color w:val="198754"/>
          <w:sz w:val="22"/>
          <w:szCs w:val="22"/>
        </w:rPr>
        <w:t xml:space="preserve">Fructele mari ale soiului Lara necesită praguri foliare speciale?</w:t>
      </w:r>
    </w:p>
    <w:p>
      <w:pPr>
        <w:spacing w:after="120"/>
      </w:pPr>
      <w:r>
        <w:rPr>
          <w:color w:val="1F2F26"/>
          <w:sz w:val="20"/>
          <w:szCs w:val="20"/>
        </w:rPr>
        <w:t xml:space="preserve">Nu. Deși Lara se remarcă prin fructe de dimensiuni mari, nu există praguri de interpretare demonstrate ca fiind diferite față de Juglans regia. Se folosesc pragurile UC la nivel de specie, iar dimensiunea și calitatea fructelor se interpretează prin corelarea rezultatelor foliare cu producția și cu contextul de sol și apă.</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Lara</w:t>
      </w:r>
    </w:p>
    <w:p>
      <w:pPr>
        <w:pStyle w:val="ListParagraph"/>
        <w:numPr>
          <w:ilvl w:val="0"/>
          <w:numId w:val="1"/>
        </w:numPr>
        <w:spacing w:after="60"/>
      </w:pPr>
      <w:r>
        <w:rPr>
          <w:color w:val="1F2F26"/>
          <w:sz w:val="20"/>
          <w:szCs w:val="20"/>
        </w:rPr>
        <w:t xml:space="preserve">California Crop Fertilization Guidelines – Walnut — </w:t>
      </w:r>
      <w:hyperlink w:history="1" r:id="rIdr5rcxsqdojovcmi3wqcps">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qriuk1focw8fsoxwmx9fw">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irmdbdts1le-jmlfncxfr">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bcl0vian3xwzzhhtakoga">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wayvxjj_jy15gbatra8y_">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ozxm3zjq4du5x4bsj8uui">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vaah-dps_woj-ndhwpqo0">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omopdjkoo7moehqdetngg">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p85xpoby9uv4mga-df5lq">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ks6jqcpyeugbtnt5yozqs">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nbtvpsyklh9euyjc9ut05">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k7cvckc4tvbhphal8gyv8">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Juglans regia ‘Lara’ (fișă de soi RHS) — </w:t>
      </w:r>
      <w:hyperlink w:history="1" r:id="rIdcpjt9ldkf2on-zd7vqupq">
        <w:r>
          <w:rPr>
            <w:color w:val="198754"/>
            <w:sz w:val="20"/>
            <w:szCs w:val="20"/>
            <w:u w:val="single"/>
          </w:rPr>
          <w:t xml:space="preserve">https://www.rhs.org.uk/plants/59459/juglans-regia-lara-(f)/details</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r5rcxsqdojovcmi3wqcps" Type="http://schemas.openxmlformats.org/officeDocument/2006/relationships/hyperlink" Target="https://www.cdfa.ca.gov/is/ffldrs/frep/FertilizationGuidelines/Walnut.html" TargetMode="External"/><Relationship Id="rIdqriuk1focw8fsoxwmx9fw" Type="http://schemas.openxmlformats.org/officeDocument/2006/relationships/hyperlink" Target="http://geisseler.ucdavis.edu/Guidelines/Walnut.html" TargetMode="External"/><Relationship Id="rIdirmdbdts1le-jmlfncxfr" Type="http://schemas.openxmlformats.org/officeDocument/2006/relationships/hyperlink" Target="https://ucanr.edu/sites/default/files/2013-02/161801.pdf" TargetMode="External"/><Relationship Id="rIdbcl0vian3xwzzhhtakoga" Type="http://schemas.openxmlformats.org/officeDocument/2006/relationships/hyperlink" Target="https://anrcatalog.ucanr.edu/Details.aspx?itemNo=3373" TargetMode="External"/><Relationship Id="rIdwayvxjj_jy15gbatra8y_" Type="http://schemas.openxmlformats.org/officeDocument/2006/relationships/hyperlink" Target="https://apps1.cdfa.ca.gov/FertilizerResearch/docs/Orchard_Tissue_Sampling.pdf" TargetMode="External"/><Relationship Id="rIdozxm3zjq4du5x4bsj8uui" Type="http://schemas.openxmlformats.org/officeDocument/2006/relationships/hyperlink" Target="https://dellavallelab.com/wp-content/uploads/2022/11/Walnut-Sampling-Guide-Final.pdf" TargetMode="External"/><Relationship Id="rIdvaah-dps_woj-ndhwpqo0" Type="http://schemas.openxmlformats.org/officeDocument/2006/relationships/hyperlink" Target="https://fglinc.com/wordpress/wp-content/uploads/2020/08/Walnut_Leaf_and_Soil.pdf" TargetMode="External"/><Relationship Id="rIdomopdjkoo7moehqdetngg" Type="http://schemas.openxmlformats.org/officeDocument/2006/relationships/hyperlink" Target="http://ipm.ucanr.edu/PMG/GARDEN/PLANTS/DISORDERS/zincdeficiency.html" TargetMode="External"/><Relationship Id="rIdp85xpoby9uv4mga-df5lq" Type="http://schemas.openxmlformats.org/officeDocument/2006/relationships/hyperlink" Target="https://ipm.ucanr.edu/agriculture/walnut/blackline/" TargetMode="External"/><Relationship Id="rIdks6jqcpyeugbtnt5yozqs" Type="http://schemas.openxmlformats.org/officeDocument/2006/relationships/hyperlink" Target="https://ipm.ucanr.edu/agriculture/walnut/walnut-blight/" TargetMode="External"/><Relationship Id="rIdnbtvpsyklh9euyjc9ut05" Type="http://schemas.openxmlformats.org/officeDocument/2006/relationships/hyperlink" Target="https://ucanr.edu/site/water-resources-management/article/water-quality-technical-note-boron-b" TargetMode="External"/><Relationship Id="rIdk7cvckc4tvbhphal8gyv8" Type="http://schemas.openxmlformats.org/officeDocument/2006/relationships/hyperlink" Target="https://pmc.ncbi.nlm.nih.gov/articles/PMC7073067/" TargetMode="External"/><Relationship Id="rIdcpjt9ldkf2on-zd7vqupq" Type="http://schemas.openxmlformats.org/officeDocument/2006/relationships/hyperlink" Target="https://www.rhs.org.uk/plants/59459/juglans-regia-lara-(f)/details"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Lara</dc:title>
  <dc:creator>EDTA Plant</dc:creator>
  <dc:description>Ghid tehnic de analiză foliară pentru nuc soiul lara, generat din standardele partajate EDTA.</dc:description>
  <cp:lastModifiedBy>Un-named</cp:lastModifiedBy>
  <cp:revision>1</cp:revision>
  <dcterms:created xsi:type="dcterms:W3CDTF">2026-07-14T12:11:53.617Z</dcterms:created>
  <dcterms:modified xsi:type="dcterms:W3CDTF">2026-07-14T12:11:53.617Z</dcterms:modified>
</cp:coreProperties>
</file>

<file path=docProps/custom.xml><?xml version="1.0" encoding="utf-8"?>
<Properties xmlns="http://schemas.openxmlformats.org/officeDocument/2006/custom-properties" xmlns:vt="http://schemas.openxmlformats.org/officeDocument/2006/docPropsVTypes"/>
</file>