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Howard</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Howard</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Howard</w:t>
      </w:r>
    </w:p>
    <w:p>
      <w:pPr>
        <w:spacing w:after="60"/>
      </w:pPr>
      <w:r>
        <w:rPr>
          <w:b/>
          <w:bCs/>
          <w:color w:val="5A6B60"/>
          <w:sz w:val="20"/>
          <w:szCs w:val="20"/>
        </w:rPr>
        <w:t xml:space="preserve">Origine: </w:t>
      </w:r>
      <w:r>
        <w:rPr>
          <w:color w:val="1F2F26"/>
          <w:sz w:val="20"/>
          <w:szCs w:val="20"/>
        </w:rPr>
        <w:t xml:space="preserve">Statele Unite (UC Davis)</w:t>
      </w:r>
    </w:p>
    <w:p>
      <w:pPr>
        <w:spacing w:after="60"/>
      </w:pPr>
      <w:r>
        <w:rPr>
          <w:b/>
          <w:bCs/>
          <w:color w:val="5A6B60"/>
          <w:sz w:val="20"/>
          <w:szCs w:val="20"/>
        </w:rPr>
        <w:t xml:space="preserve">Caracterizare scurtă: </w:t>
      </w:r>
      <w:r>
        <w:rPr>
          <w:color w:val="1F2F26"/>
          <w:sz w:val="20"/>
          <w:szCs w:val="20"/>
        </w:rPr>
        <w:t xml:space="preserve">Soi american, producție ridicată</w:t>
      </w:r>
    </w:p>
    <w:p>
      <w:pPr>
        <w:spacing w:after="120"/>
      </w:pPr>
      <w:r>
        <w:rPr>
          <w:color w:val="1F2F26"/>
          <w:sz w:val="20"/>
          <w:szCs w:val="20"/>
        </w:rPr>
        <w:t xml:space="preserve">Howard este un soi american cu fructificare laterală și producție ridicată, apreciat pentru vigoarea moderată care facilitează gestionarea coroanei în livezile intensive.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laterală</w:t>
      </w:r>
    </w:p>
    <w:p>
      <w:pPr>
        <w:pStyle w:val="ListParagraph"/>
        <w:numPr>
          <w:ilvl w:val="0"/>
          <w:numId w:val="1"/>
        </w:numPr>
        <w:spacing w:after="60"/>
      </w:pPr>
      <w:r>
        <w:rPr>
          <w:color w:val="1F2F26"/>
          <w:sz w:val="20"/>
          <w:szCs w:val="20"/>
        </w:rPr>
        <w:t xml:space="preserve">Producție ridicată</w:t>
      </w:r>
    </w:p>
    <w:p>
      <w:pPr>
        <w:pStyle w:val="ListParagraph"/>
        <w:numPr>
          <w:ilvl w:val="0"/>
          <w:numId w:val="1"/>
        </w:numPr>
        <w:spacing w:after="60"/>
      </w:pPr>
      <w:r>
        <w:rPr>
          <w:color w:val="1F2F26"/>
          <w:sz w:val="20"/>
          <w:szCs w:val="20"/>
        </w:rPr>
        <w:t xml:space="preserve">Vigoare moderată</w:t>
      </w:r>
    </w:p>
    <w:p>
      <w:pPr>
        <w:pStyle w:val="ListParagraph"/>
        <w:numPr>
          <w:ilvl w:val="0"/>
          <w:numId w:val="1"/>
        </w:numPr>
        <w:spacing w:after="60"/>
      </w:pPr>
      <w:r>
        <w:rPr>
          <w:color w:val="1F2F26"/>
          <w:sz w:val="20"/>
          <w:szCs w:val="20"/>
        </w:rPr>
        <w:t xml:space="preserve">Potrivit pentru livezi intensive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Howard și particularități agronomice</w:t>
      </w:r>
    </w:p>
    <w:p>
      <w:pPr>
        <w:spacing w:after="120"/>
      </w:pPr>
      <w:r>
        <w:rPr>
          <w:color w:val="1F2F26"/>
          <w:sz w:val="20"/>
          <w:szCs w:val="20"/>
        </w:rPr>
        <w:t xml:space="preserve">‘Howard’ este un soi de nuc (Juglans regia) obținut în programul de ameliorare al Universității California, Davis (Serr &amp; Forde). Este un soi modern, cu fructificare laterală abundentă (80–90% muguri laterali fertili), pornire târzie în vegetație (cca. 15 zile după Payne) și recoltare mijlocie. Produce nuci mari, bine sudate, cu miez ~90% de culoare deschisă; pomul este mic spre mediu, cu port semi-erect. Datorită pornirii târzii, nuca poate fi expusă bacteriozei; polenizatori recomandați: Scharsch Franquette sau Cisco.</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UC Davis (programul Serr &amp; Forde)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Târzie (cca. 15 zile după Payne)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Necesită polenizator (Scharsch Franquette sau Cisco)</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 abundentă (80–90% muguri laterali fertili)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mare, bine sudată; miez ~90% deschis la culoare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Moderată; pom mic spre mediu, port semi-erect</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Ridicat</w:t>
            </w:r>
          </w:p>
        </w:tc>
      </w:tr>
    </w:tbl>
    <w:p>
      <w:pPr>
        <w:spacing w:after="120"/>
      </w:pPr>
    </w:p>
    <w:p>
      <w:pPr>
        <w:pStyle w:val="Heading2"/>
        <w:spacing w:after="100" w:before="200"/>
      </w:pPr>
      <w:r>
        <w:rPr>
          <w:b/>
          <w:bCs/>
          <w:color w:val="198754"/>
          <w:sz w:val="22"/>
          <w:szCs w:val="22"/>
        </w:rPr>
        <w:t xml:space="preserve">1.2. Implicații nutriționale ale particularităților Howard</w:t>
      </w:r>
    </w:p>
    <w:p>
      <w:pPr>
        <w:spacing w:after="120"/>
      </w:pPr>
      <w:r>
        <w:rPr>
          <w:color w:val="1F2F26"/>
          <w:sz w:val="20"/>
          <w:szCs w:val="20"/>
        </w:rPr>
        <w:t xml:space="preserve">Fenologie târzie — pornirea la cca. 15 zile după Payne deplasează calendarul fenologic; fereastra de prelevare din iulie rămâne valabilă, cu confirmarea vizuală a maturității frunzelor.</w:t>
      </w:r>
    </w:p>
    <w:p>
      <w:pPr>
        <w:spacing w:after="120"/>
      </w:pPr>
      <w:r>
        <w:rPr>
          <w:color w:val="1F2F26"/>
          <w:sz w:val="20"/>
          <w:szCs w:val="20"/>
        </w:rPr>
        <w:t xml:space="preserve">Producție ridicată — fructificarea laterală bogată (80–90%) înseamnă o încărcătură mare de fructe și o cerere susținută de potasiu și azot în perioada de umplere a miezului; soiurile cu producție mare epuizează mai rapid rezervele.</w:t>
      </w:r>
    </w:p>
    <w:p>
      <w:pPr>
        <w:spacing w:after="120"/>
      </w:pPr>
      <w:r>
        <w:rPr>
          <w:color w:val="1F2F26"/>
          <w:sz w:val="20"/>
          <w:szCs w:val="20"/>
        </w:rPr>
        <w:t xml:space="preserve">Sensibilitatea nucii la bacterioză — pornirea târzie reduce în general expunerea foliajului și a fenologiei, însă, în sezoane favorabile, fructul (nuca) la Howard poate rămâne sensibil la bacterioză (Xanthomonas arboricola pv. juglandis); este o problemă la nivelul fructului, nu al foliajului, și nu modifică pragurile de interpretare foliară.</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Howard.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Howard. Standardele de interpretare (carență / optim / exces) utilizate în acest ghid sunt cele generale pentru Juglans regia, stabilite de Universitatea California (UC ANR / UC Davis) și de programul de fertilizare CDFA-FREP. Ele se aplică soiului Howard ca recomandări generale pentru specie și sunt marcate explicit ca atare în text. Particularitățile Howard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Howard), nu validate separat pentru Howard.</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Howard, care pornește târziu (cca. 15 zile după Payne),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Howard,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Howard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Howard</w:t>
      </w:r>
    </w:p>
    <w:p>
      <w:pPr>
        <w:pStyle w:val="Heading2"/>
        <w:spacing w:after="100" w:before="200"/>
      </w:pPr>
      <w:r>
        <w:rPr>
          <w:b/>
          <w:bCs/>
          <w:color w:val="198754"/>
          <w:sz w:val="22"/>
          <w:szCs w:val="22"/>
        </w:rPr>
        <w:t xml:space="preserve">6. Diferențe față de recomandările generale Juglans regia și sensibilități Howard</w:t>
      </w:r>
    </w:p>
    <w:p>
      <w:pPr>
        <w:spacing w:after="120"/>
      </w:pPr>
      <w:r>
        <w:rPr>
          <w:color w:val="1F2F26"/>
          <w:sz w:val="20"/>
          <w:szCs w:val="20"/>
        </w:rPr>
        <w:t xml:space="preserve">În literatura științifică verificabilă NU există praguri de interpretare a țesutului foliar demonstrate ca fiind diferite pentru Howard față de Juglans regia. Prin urmare, în acest ghid nu se introduc praguri „specifice Howard”;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ridicată — datorită fructificării laterale bogate (80–90%) și producției mari, Howard are o cerere susținută de K și N în faza de umplere a miezului; interpretarea unui K „la limita inferioară” a intervalului optim trebuie tratată mai atent la un soi atât de productiv.</w:t>
      </w:r>
    </w:p>
    <w:p>
      <w:pPr>
        <w:spacing w:after="120"/>
      </w:pPr>
      <w:r>
        <w:rPr>
          <w:color w:val="1F2F26"/>
          <w:sz w:val="20"/>
          <w:szCs w:val="20"/>
        </w:rPr>
        <w:t xml:space="preserve">Calendar fenologic decalat — pornirea târzie (cca. 15 zile după Payne) impune confirmarea vizuală a maturității frunzelor înainte de prelevarea din iulie.</w:t>
      </w:r>
    </w:p>
    <w:p>
      <w:pPr>
        <w:spacing w:after="120"/>
      </w:pPr>
      <w:r>
        <w:rPr>
          <w:color w:val="1F2F26"/>
          <w:sz w:val="20"/>
          <w:szCs w:val="20"/>
        </w:rPr>
        <w:t xml:space="preserve">Sensibilitatea nucii la bacterioză — poate afecta calitatea fructului la Howard; este un aspect fitosanitar, nu o modificare a pragurilor de interpretare foliară.</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Howard”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Howard</w:t>
      </w:r>
    </w:p>
    <w:p>
      <w:pPr>
        <w:pStyle w:val="Heading2"/>
        <w:spacing w:after="100" w:before="200"/>
      </w:pPr>
      <w:r>
        <w:rPr>
          <w:b/>
          <w:bCs/>
          <w:color w:val="198754"/>
          <w:sz w:val="22"/>
          <w:szCs w:val="22"/>
        </w:rPr>
        <w:t xml:space="preserve">Cum ajută vigoarea moderată a soiului Howard în livezile intensive?</w:t>
      </w:r>
    </w:p>
    <w:p>
      <w:pPr>
        <w:spacing w:after="120"/>
      </w:pPr>
      <w:r>
        <w:rPr>
          <w:color w:val="1F2F26"/>
          <w:sz w:val="20"/>
          <w:szCs w:val="20"/>
        </w:rPr>
        <w:t xml:space="preserve">Vigoarea moderată a soiului Howard facilitează gestionarea coroanei în livezile intensive, dar nu schimbă principiile diagnozei foliare: rezultatele se raportează la pragurile UC la nivel de specie. Un plan de nutriție echilibrat susține fructificarea laterală abundentă fără a stimula excesiv creșterea vegetativă.</w:t>
      </w:r>
    </w:p>
    <w:p>
      <w:pPr>
        <w:pStyle w:val="Heading2"/>
        <w:spacing w:after="100" w:before="200"/>
      </w:pPr>
      <w:r>
        <w:rPr>
          <w:b/>
          <w:bCs/>
          <w:color w:val="198754"/>
          <w:sz w:val="22"/>
          <w:szCs w:val="22"/>
        </w:rPr>
        <w:t xml:space="preserve">Când se prelevează probele la Howard, care pornește mai târziu decât Payne?</w:t>
      </w:r>
    </w:p>
    <w:p>
      <w:pPr>
        <w:spacing w:after="120"/>
      </w:pPr>
      <w:r>
        <w:rPr>
          <w:color w:val="1F2F26"/>
          <w:sz w:val="20"/>
          <w:szCs w:val="20"/>
        </w:rPr>
        <w:t xml:space="preserve">Deoarece Howard pornește în vegetație la aproximativ două săptămâni după Payne, calendarul fenologic este deplasat, însă fereastra de prelevare din iulie rămâne valabilă, cu confirmarea vizuală a maturității frunzelor. Pragurile UC sunt calibrate pentru probe recoltate în iulie din foliolele terminale.</w:t>
      </w:r>
    </w:p>
    <w:p>
      <w:pPr>
        <w:pStyle w:val="Heading2"/>
        <w:spacing w:after="100" w:before="200"/>
      </w:pPr>
      <w:r>
        <w:rPr>
          <w:b/>
          <w:bCs/>
          <w:color w:val="198754"/>
          <w:sz w:val="22"/>
          <w:szCs w:val="22"/>
        </w:rPr>
        <w:t xml:space="preserve">Producția ridicată a soiului Howard cere praguri foliare speciale?</w:t>
      </w:r>
    </w:p>
    <w:p>
      <w:pPr>
        <w:spacing w:after="120"/>
      </w:pPr>
      <w:r>
        <w:rPr>
          <w:color w:val="1F2F26"/>
          <w:sz w:val="20"/>
          <w:szCs w:val="20"/>
        </w:rPr>
        <w:t xml:space="preserve">Nu. Fructificarea laterală abundentă implică o cerere susținută de potasiu și azot la umplerea miezului, dar nu există praguri demonstrate ca fiind diferite pentru Howard față de Juglans regia. Interpretarea folosește pragurile UC la nivel de specie, corelate cu producția și cu simptomele vizuale.</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Howard</w:t>
      </w:r>
    </w:p>
    <w:p>
      <w:pPr>
        <w:pStyle w:val="ListParagraph"/>
        <w:numPr>
          <w:ilvl w:val="0"/>
          <w:numId w:val="1"/>
        </w:numPr>
        <w:spacing w:after="60"/>
      </w:pPr>
      <w:r>
        <w:rPr>
          <w:color w:val="1F2F26"/>
          <w:sz w:val="20"/>
          <w:szCs w:val="20"/>
        </w:rPr>
        <w:t xml:space="preserve">California Crop Fertilization Guidelines – Walnut — </w:t>
      </w:r>
      <w:hyperlink w:history="1" r:id="rId3caszc9ve21hdwvu8bscs">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fiutm5rrzour06z_s2qxi">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fym-3yke5lwcdlexpl8og">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iia_hv3qotq91vszdcvkr">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c_1cwzwpa5ezqww36ksa7">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8bqwbgdi2n6itaadcvcbn">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8k55je47e1gb4qsn0_uia">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wrsj8eoitybepvqdtfxch">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3sm88gth3vbmlfnozhb9u">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zc7linn9sdsc5m2tyo8sn">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e30k7jcl2yxlwashmxyyu">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h6jtbgucvsiojgj0acz85">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Walnut Varieties – Howard (fișă de soi) — </w:t>
      </w:r>
      <w:hyperlink w:history="1" r:id="rIdy4noh-xclu537xanthqti">
        <w:r>
          <w:rPr>
            <w:color w:val="198754"/>
            <w:sz w:val="20"/>
            <w:szCs w:val="20"/>
            <w:u w:val="single"/>
          </w:rPr>
          <w:t xml:space="preserve">https://www.sierragoldtrees.com/walnut-varieties</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3caszc9ve21hdwvu8bscs" Type="http://schemas.openxmlformats.org/officeDocument/2006/relationships/hyperlink" Target="https://www.cdfa.ca.gov/is/ffldrs/frep/FertilizationGuidelines/Walnut.html" TargetMode="External"/><Relationship Id="rIdfiutm5rrzour06z_s2qxi" Type="http://schemas.openxmlformats.org/officeDocument/2006/relationships/hyperlink" Target="http://geisseler.ucdavis.edu/Guidelines/Walnut.html" TargetMode="External"/><Relationship Id="rIdfym-3yke5lwcdlexpl8og" Type="http://schemas.openxmlformats.org/officeDocument/2006/relationships/hyperlink" Target="https://ucanr.edu/sites/default/files/2013-02/161801.pdf" TargetMode="External"/><Relationship Id="rIdiia_hv3qotq91vszdcvkr" Type="http://schemas.openxmlformats.org/officeDocument/2006/relationships/hyperlink" Target="https://anrcatalog.ucanr.edu/Details.aspx?itemNo=3373" TargetMode="External"/><Relationship Id="rIdc_1cwzwpa5ezqww36ksa7" Type="http://schemas.openxmlformats.org/officeDocument/2006/relationships/hyperlink" Target="https://apps1.cdfa.ca.gov/FertilizerResearch/docs/Orchard_Tissue_Sampling.pdf" TargetMode="External"/><Relationship Id="rId8bqwbgdi2n6itaadcvcbn" Type="http://schemas.openxmlformats.org/officeDocument/2006/relationships/hyperlink" Target="https://dellavallelab.com/wp-content/uploads/2022/11/Walnut-Sampling-Guide-Final.pdf" TargetMode="External"/><Relationship Id="rId8k55je47e1gb4qsn0_uia" Type="http://schemas.openxmlformats.org/officeDocument/2006/relationships/hyperlink" Target="https://fglinc.com/wordpress/wp-content/uploads/2020/08/Walnut_Leaf_and_Soil.pdf" TargetMode="External"/><Relationship Id="rIdwrsj8eoitybepvqdtfxch" Type="http://schemas.openxmlformats.org/officeDocument/2006/relationships/hyperlink" Target="http://ipm.ucanr.edu/PMG/GARDEN/PLANTS/DISORDERS/zincdeficiency.html" TargetMode="External"/><Relationship Id="rId3sm88gth3vbmlfnozhb9u" Type="http://schemas.openxmlformats.org/officeDocument/2006/relationships/hyperlink" Target="https://ipm.ucanr.edu/agriculture/walnut/blackline/" TargetMode="External"/><Relationship Id="rIdzc7linn9sdsc5m2tyo8sn" Type="http://schemas.openxmlformats.org/officeDocument/2006/relationships/hyperlink" Target="https://ipm.ucanr.edu/agriculture/walnut/walnut-blight/" TargetMode="External"/><Relationship Id="rIde30k7jcl2yxlwashmxyyu" Type="http://schemas.openxmlformats.org/officeDocument/2006/relationships/hyperlink" Target="https://ucanr.edu/site/water-resources-management/article/water-quality-technical-note-boron-b" TargetMode="External"/><Relationship Id="rIdh6jtbgucvsiojgj0acz85" Type="http://schemas.openxmlformats.org/officeDocument/2006/relationships/hyperlink" Target="https://pmc.ncbi.nlm.nih.gov/articles/PMC7073067/" TargetMode="External"/><Relationship Id="rIdy4noh-xclu537xanthqti" Type="http://schemas.openxmlformats.org/officeDocument/2006/relationships/hyperlink" Target="https://www.sierragoldtrees.com/walnut-varieties"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Howard</dc:title>
  <dc:creator>EDTA Plant</dc:creator>
  <dc:description>Ghid tehnic de analiză foliară pentru nuc soiul howard, generat din standardele partajate EDTA.</dc:description>
  <cp:lastModifiedBy>Un-named</cp:lastModifiedBy>
  <cp:revision>1</cp:revision>
  <dcterms:created xsi:type="dcterms:W3CDTF">2026-07-14T12:09:00.876Z</dcterms:created>
  <dcterms:modified xsi:type="dcterms:W3CDTF">2026-07-14T12:09:00.876Z</dcterms:modified>
</cp:coreProperties>
</file>

<file path=docProps/custom.xml><?xml version="1.0" encoding="utf-8"?>
<Properties xmlns="http://schemas.openxmlformats.org/officeDocument/2006/custom-properties" xmlns:vt="http://schemas.openxmlformats.org/officeDocument/2006/docPropsVTypes"/>
</file>