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Germisara</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Germisara</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Germisara</w:t>
      </w:r>
    </w:p>
    <w:p>
      <w:pPr>
        <w:spacing w:after="60"/>
      </w:pPr>
      <w:r>
        <w:rPr>
          <w:b/>
          <w:bCs/>
          <w:color w:val="5A6B60"/>
          <w:sz w:val="20"/>
          <w:szCs w:val="20"/>
        </w:rPr>
        <w:t xml:space="preserve">Origine: </w:t>
      </w:r>
      <w:r>
        <w:rPr>
          <w:color w:val="1F2F26"/>
          <w:sz w:val="20"/>
          <w:szCs w:val="20"/>
        </w:rPr>
        <w:t xml:space="preserve">România</w:t>
      </w:r>
    </w:p>
    <w:p>
      <w:pPr>
        <w:spacing w:after="60"/>
      </w:pPr>
      <w:r>
        <w:rPr>
          <w:b/>
          <w:bCs/>
          <w:color w:val="5A6B60"/>
          <w:sz w:val="20"/>
          <w:szCs w:val="20"/>
        </w:rPr>
        <w:t xml:space="preserve">Caracterizare scurtă: </w:t>
      </w:r>
      <w:r>
        <w:rPr>
          <w:color w:val="1F2F26"/>
          <w:sz w:val="20"/>
          <w:szCs w:val="20"/>
        </w:rPr>
        <w:t xml:space="preserve">Soi românesc, adaptat local</w:t>
      </w:r>
    </w:p>
    <w:p>
      <w:pPr>
        <w:spacing w:after="120"/>
      </w:pPr>
      <w:r>
        <w:rPr>
          <w:color w:val="1F2F26"/>
          <w:sz w:val="20"/>
          <w:szCs w:val="20"/>
        </w:rPr>
        <w:t xml:space="preserve">Germisara este un soi românesc adaptat condițiilor pedoclimatice locale, apreciat pentru rusticitate și pentru comportamentul bun în plantațiile din România.</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Soi autohton</w:t>
      </w:r>
    </w:p>
    <w:p>
      <w:pPr>
        <w:pStyle w:val="ListParagraph"/>
        <w:numPr>
          <w:ilvl w:val="0"/>
          <w:numId w:val="1"/>
        </w:numPr>
        <w:spacing w:after="60"/>
      </w:pPr>
      <w:r>
        <w:rPr>
          <w:color w:val="1F2F26"/>
          <w:sz w:val="20"/>
          <w:szCs w:val="20"/>
        </w:rPr>
        <w:t xml:space="preserve">Adaptat local</w:t>
      </w:r>
    </w:p>
    <w:p>
      <w:pPr>
        <w:pStyle w:val="ListParagraph"/>
        <w:numPr>
          <w:ilvl w:val="0"/>
          <w:numId w:val="1"/>
        </w:numPr>
        <w:spacing w:after="60"/>
      </w:pPr>
      <w:r>
        <w:rPr>
          <w:color w:val="1F2F26"/>
          <w:sz w:val="20"/>
          <w:szCs w:val="20"/>
        </w:rPr>
        <w:t xml:space="preserve">Rustic</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Germisara și particularități agronomice</w:t>
      </w:r>
    </w:p>
    <w:p>
      <w:pPr>
        <w:spacing w:after="120"/>
      </w:pPr>
      <w:r>
        <w:rPr>
          <w:color w:val="1F2F26"/>
          <w:sz w:val="20"/>
          <w:szCs w:val="20"/>
        </w:rPr>
        <w:t xml:space="preserve">‘Germisara’ este un soi românesc de nuc (Juglans regia) obținut la Stațiunea de Cercetare-Dezvoltare pentru Pomicultură (SCDP) Vâlcea, considerat unul dintre cele mai productive soiuri din sud-vestul Transilvaniei. Are vigoare mare-mijlocie, coroană globuloasă bine luminată și este rezistent la ger și la atacul bolilor specifice. Fructificarea este terminală spre mixtă (rodește și pe lăstarii laterali), cu precocitate timpurie și fruct mare. Înflorirea este semi-târzie, de tip protogin.</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SCDP Vâlcea, România</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Semi-târzie, protogină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Terminală spre mixtă (rodește și pe lăstari laterali)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Fruct mare, bine sudat; miez de calitate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Mare-mijlocie, coroană globuloasă; rezistent la ger și boli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Adaptat climatului din România</w:t>
            </w:r>
          </w:p>
        </w:tc>
      </w:tr>
    </w:tbl>
    <w:p>
      <w:pPr>
        <w:spacing w:after="120"/>
      </w:pPr>
    </w:p>
    <w:p>
      <w:pPr>
        <w:pStyle w:val="Heading2"/>
        <w:spacing w:after="100" w:before="200"/>
      </w:pPr>
      <w:r>
        <w:rPr>
          <w:b/>
          <w:bCs/>
          <w:color w:val="198754"/>
          <w:sz w:val="22"/>
          <w:szCs w:val="22"/>
        </w:rPr>
        <w:t xml:space="preserve">1.2. Implicații nutriționale ale particularităților Germisara</w:t>
      </w:r>
    </w:p>
    <w:p>
      <w:pPr>
        <w:spacing w:after="120"/>
      </w:pPr>
      <w:r>
        <w:rPr>
          <w:color w:val="1F2F26"/>
          <w:sz w:val="20"/>
          <w:szCs w:val="20"/>
        </w:rPr>
        <w:t xml:space="preserve">Fructificare terminală spre mixtă — rodind și pe lăstarii laterali, cererea de K și N în faza de umplere a miezului este moderată spre notabilă; nutriția echilibrată susține producția ridicată specifică soiului.</w:t>
      </w:r>
    </w:p>
    <w:p>
      <w:pPr>
        <w:spacing w:after="120"/>
      </w:pPr>
      <w:r>
        <w:rPr>
          <w:color w:val="1F2F26"/>
          <w:sz w:val="20"/>
          <w:szCs w:val="20"/>
        </w:rPr>
        <w:t xml:space="preserve">Fenologie de mijloc de sezon — pornirea la mijlocul sezonului menține valabilă fereastra de prelevare foliară din iulie; se confirmă vizual maturitatea frunzelor înainte de recoltare.</w:t>
      </w:r>
    </w:p>
    <w:p>
      <w:pPr>
        <w:spacing w:after="120"/>
      </w:pPr>
      <w:r>
        <w:rPr>
          <w:color w:val="1F2F26"/>
          <w:sz w:val="20"/>
          <w:szCs w:val="20"/>
        </w:rPr>
        <w:t xml:space="preserve">Adaptare la condițiile din România — soi productiv, rezistent la ger și la bolile specifice; înflorirea protogină explică amplasarea în livezi mixte cu polenizatori protandri.</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Germisara.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Germisara. Standardele de interpretare (carență / optim / exces) utilizate în acest ghid sunt cele generale pentru Juglans regia, stabilite de Universitatea California (UC ANR / UC Davis) și de programul de fertilizare CDFA-FREP. Ele se aplică soiului Germisara ca recomandări generale pentru specie și sunt marcate explicit ca atare în text. Particularitățile Germisara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Germisara), nu validate separat pentru Germisara.</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Germisara, cu pornire la mijlocul sezonului, se verifică vizual că frunzele sunt complet expandate înainte de recoltare.</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Germisara,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Germisara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Germisara</w:t>
      </w:r>
    </w:p>
    <w:p>
      <w:pPr>
        <w:pStyle w:val="Heading2"/>
        <w:spacing w:after="100" w:before="200"/>
      </w:pPr>
      <w:r>
        <w:rPr>
          <w:b/>
          <w:bCs/>
          <w:color w:val="198754"/>
          <w:sz w:val="22"/>
          <w:szCs w:val="22"/>
        </w:rPr>
        <w:t xml:space="preserve">6. Diferențe față de recomandările generale Juglans regia și sensibilități Germisara</w:t>
      </w:r>
    </w:p>
    <w:p>
      <w:pPr>
        <w:spacing w:after="120"/>
      </w:pPr>
      <w:r>
        <w:rPr>
          <w:color w:val="1F2F26"/>
          <w:sz w:val="20"/>
          <w:szCs w:val="20"/>
        </w:rPr>
        <w:t xml:space="preserve">În literatura științifică verificabilă NU există praguri de interpretare a țesutului foliar demonstrate ca fiind diferite pentru Germisara față de Juglans regia. Prin urmare, în acest ghid nu se introduc praguri „specifice Germisara”;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moderată spre notabilă — fructificarea terminală spre mixtă și productivitatea ridicată impun o cerere susținută de K și N în faza de umplere a miezului.</w:t>
      </w:r>
    </w:p>
    <w:p>
      <w:pPr>
        <w:spacing w:after="120"/>
      </w:pPr>
      <w:r>
        <w:rPr>
          <w:color w:val="1F2F26"/>
          <w:sz w:val="20"/>
          <w:szCs w:val="20"/>
        </w:rPr>
        <w:t xml:space="preserve">Fenologie de mijloc de sezon — fereastra de prelevare din iulie rămâne validă; se confirmă vizual maturitatea frunzelor.</w:t>
      </w:r>
    </w:p>
    <w:p>
      <w:pPr>
        <w:spacing w:after="120"/>
      </w:pPr>
      <w:r>
        <w:rPr>
          <w:color w:val="1F2F26"/>
          <w:sz w:val="20"/>
          <w:szCs w:val="20"/>
        </w:rPr>
        <w:t xml:space="preserve">Adaptare și rezistență — soi rezistent la ger și boli; înflorirea protogină explică amplasarea cu polenizatori protandri, fără a modifica pragurile de interpretare.</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Germisara”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Germisara</w:t>
      </w:r>
    </w:p>
    <w:p>
      <w:pPr>
        <w:pStyle w:val="Heading2"/>
        <w:spacing w:after="100" w:before="200"/>
      </w:pPr>
      <w:r>
        <w:rPr>
          <w:b/>
          <w:bCs/>
          <w:color w:val="198754"/>
          <w:sz w:val="22"/>
          <w:szCs w:val="22"/>
        </w:rPr>
        <w:t xml:space="preserve">Ce înseamnă fructificarea terminală spre mixtă a soiului Germisara pentru nutriție?</w:t>
      </w:r>
    </w:p>
    <w:p>
      <w:pPr>
        <w:spacing w:after="120"/>
      </w:pPr>
      <w:r>
        <w:rPr>
          <w:color w:val="1F2F26"/>
          <w:sz w:val="20"/>
          <w:szCs w:val="20"/>
        </w:rPr>
        <w:t xml:space="preserve">Germisara rodește terminal, dar și pe lăstarii laterali, astfel încât cererea de potasiu și azot în faza de umplere a miezului este moderată spre notabilă. O nutriție echilibrată susține producția ridicată specifică soiului, iar valorile foliare se raportează la pragurile UC la nivel de specie și se corelează cu încărcătura de fructe.</w:t>
      </w:r>
    </w:p>
    <w:p>
      <w:pPr>
        <w:pStyle w:val="Heading2"/>
        <w:spacing w:after="100" w:before="200"/>
      </w:pPr>
      <w:r>
        <w:rPr>
          <w:b/>
          <w:bCs/>
          <w:color w:val="198754"/>
          <w:sz w:val="22"/>
          <w:szCs w:val="22"/>
        </w:rPr>
        <w:t xml:space="preserve">Rusticitatea soiului Germisara modifică modul de interpretare a analizelor?</w:t>
      </w:r>
    </w:p>
    <w:p>
      <w:pPr>
        <w:spacing w:after="120"/>
      </w:pPr>
      <w:r>
        <w:rPr>
          <w:color w:val="1F2F26"/>
          <w:sz w:val="20"/>
          <w:szCs w:val="20"/>
        </w:rPr>
        <w:t xml:space="preserve">Nu. Deși Germisara este apreciat pentru rusticitate și pentru comportamentul bun în plantațiile din sud-vestul Transilvaniei, nu există praguri de interpretare demonstrate ca fiind diferite față de Juglans regia. Se folosesc pragurile UC la nivel de specie, iar adaptarea locală intervine în corelarea rezultatelor cu contextul de sol și climă.</w:t>
      </w:r>
    </w:p>
    <w:p>
      <w:pPr>
        <w:pStyle w:val="Heading2"/>
        <w:spacing w:after="100" w:before="200"/>
      </w:pPr>
      <w:r>
        <w:rPr>
          <w:b/>
          <w:bCs/>
          <w:color w:val="198754"/>
          <w:sz w:val="22"/>
          <w:szCs w:val="22"/>
        </w:rPr>
        <w:t xml:space="preserve">Când se recoltează probele foliare la Germisara?</w:t>
      </w:r>
    </w:p>
    <w:p>
      <w:pPr>
        <w:spacing w:after="120"/>
      </w:pPr>
      <w:r>
        <w:rPr>
          <w:color w:val="1F2F26"/>
          <w:sz w:val="20"/>
          <w:szCs w:val="20"/>
        </w:rPr>
        <w:t xml:space="preserve">Fereastra standard de prelevare este luna iulie, din foliolele terminale, deoarece în acest interval variația concentrației nutrienților în frunze este minimă, iar pragurile UC sunt calibrate pentru probe recoltate atunci. Corectitudinea interpretării depinde direct de respectarea acestei perioade și a tipului de frunze.</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Germisara</w:t>
      </w:r>
    </w:p>
    <w:p>
      <w:pPr>
        <w:pStyle w:val="ListParagraph"/>
        <w:numPr>
          <w:ilvl w:val="0"/>
          <w:numId w:val="1"/>
        </w:numPr>
        <w:spacing w:after="60"/>
      </w:pPr>
      <w:r>
        <w:rPr>
          <w:color w:val="1F2F26"/>
          <w:sz w:val="20"/>
          <w:szCs w:val="20"/>
        </w:rPr>
        <w:t xml:space="preserve">California Crop Fertilization Guidelines – Walnut — </w:t>
      </w:r>
      <w:hyperlink w:history="1" r:id="rIdmzbwbbdf1pgvb0neyjaim">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w1wvjcm3-ooc4akmfwnr9">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3nrehaior3arlrachjdtl">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bbxfeoe7xblup4t93de-w">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6ngqj15ijxw4ncsxklig8">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rgpttkdfsb20mxtj6-gnt">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5u3pb77gghkeglynjff30">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ardyhhppcpuxkl9v0_rgo">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2ywmlny_fkey8227qaabf">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m-oipzwqfampkp_hjjhui">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xuvuyfiq3xmma1eqo5755">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m9avcwn3ikq6z6vl8fnno">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Soiuri de nuci românești (include Germisara) — </w:t>
      </w:r>
      <w:hyperlink w:history="1" r:id="rIdfxhsvyiarunweicli67hx">
        <w:r>
          <w:rPr>
            <w:color w:val="198754"/>
            <w:sz w:val="20"/>
            <w:szCs w:val="20"/>
            <w:u w:val="single"/>
          </w:rPr>
          <w:t xml:space="preserve">https://livadacupruni.wordpress.com/2014/02/20/soiuri-de-nuci-romanesti/</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mzbwbbdf1pgvb0neyjaim" Type="http://schemas.openxmlformats.org/officeDocument/2006/relationships/hyperlink" Target="https://www.cdfa.ca.gov/is/ffldrs/frep/FertilizationGuidelines/Walnut.html" TargetMode="External"/><Relationship Id="rIdw1wvjcm3-ooc4akmfwnr9" Type="http://schemas.openxmlformats.org/officeDocument/2006/relationships/hyperlink" Target="http://geisseler.ucdavis.edu/Guidelines/Walnut.html" TargetMode="External"/><Relationship Id="rId3nrehaior3arlrachjdtl" Type="http://schemas.openxmlformats.org/officeDocument/2006/relationships/hyperlink" Target="https://ucanr.edu/sites/default/files/2013-02/161801.pdf" TargetMode="External"/><Relationship Id="rIdbbxfeoe7xblup4t93de-w" Type="http://schemas.openxmlformats.org/officeDocument/2006/relationships/hyperlink" Target="https://anrcatalog.ucanr.edu/Details.aspx?itemNo=3373" TargetMode="External"/><Relationship Id="rId6ngqj15ijxw4ncsxklig8" Type="http://schemas.openxmlformats.org/officeDocument/2006/relationships/hyperlink" Target="https://apps1.cdfa.ca.gov/FertilizerResearch/docs/Orchard_Tissue_Sampling.pdf" TargetMode="External"/><Relationship Id="rIdrgpttkdfsb20mxtj6-gnt" Type="http://schemas.openxmlformats.org/officeDocument/2006/relationships/hyperlink" Target="https://dellavallelab.com/wp-content/uploads/2022/11/Walnut-Sampling-Guide-Final.pdf" TargetMode="External"/><Relationship Id="rId5u3pb77gghkeglynjff30" Type="http://schemas.openxmlformats.org/officeDocument/2006/relationships/hyperlink" Target="https://fglinc.com/wordpress/wp-content/uploads/2020/08/Walnut_Leaf_and_Soil.pdf" TargetMode="External"/><Relationship Id="rIdardyhhppcpuxkl9v0_rgo" Type="http://schemas.openxmlformats.org/officeDocument/2006/relationships/hyperlink" Target="http://ipm.ucanr.edu/PMG/GARDEN/PLANTS/DISORDERS/zincdeficiency.html" TargetMode="External"/><Relationship Id="rId2ywmlny_fkey8227qaabf" Type="http://schemas.openxmlformats.org/officeDocument/2006/relationships/hyperlink" Target="https://ipm.ucanr.edu/agriculture/walnut/blackline/" TargetMode="External"/><Relationship Id="rIdm-oipzwqfampkp_hjjhui" Type="http://schemas.openxmlformats.org/officeDocument/2006/relationships/hyperlink" Target="https://ipm.ucanr.edu/agriculture/walnut/walnut-blight/" TargetMode="External"/><Relationship Id="rIdxuvuyfiq3xmma1eqo5755" Type="http://schemas.openxmlformats.org/officeDocument/2006/relationships/hyperlink" Target="https://ucanr.edu/site/water-resources-management/article/water-quality-technical-note-boron-b" TargetMode="External"/><Relationship Id="rIdm9avcwn3ikq6z6vl8fnno" Type="http://schemas.openxmlformats.org/officeDocument/2006/relationships/hyperlink" Target="https://pmc.ncbi.nlm.nih.gov/articles/PMC7073067/" TargetMode="External"/><Relationship Id="rIdfxhsvyiarunweicli67hx" Type="http://schemas.openxmlformats.org/officeDocument/2006/relationships/hyperlink" Target="https://livadacupruni.wordpress.com/2014/02/20/soiuri-de-nuci-romanesti/"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Germisara</dc:title>
  <dc:creator>EDTA Plant</dc:creator>
  <dc:description>Ghid tehnic de analiză foliară pentru nuc soiul germisara, generat din standardele partajate EDTA.</dc:description>
  <cp:lastModifiedBy>Un-named</cp:lastModifiedBy>
  <cp:revision>1</cp:revision>
  <dcterms:created xsi:type="dcterms:W3CDTF">2026-07-14T12:10:40.517Z</dcterms:created>
  <dcterms:modified xsi:type="dcterms:W3CDTF">2026-07-14T12:10:40.517Z</dcterms:modified>
</cp:coreProperties>
</file>

<file path=docProps/custom.xml><?xml version="1.0" encoding="utf-8"?>
<Properties xmlns="http://schemas.openxmlformats.org/officeDocument/2006/custom-properties" xmlns:vt="http://schemas.openxmlformats.org/officeDocument/2006/docPropsVTypes"/>
</file>