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1200"/>
        <w:jc w:val="center"/>
      </w:pPr>
      <w:r>
        <w:rPr>
          <w:b/>
          <w:bCs/>
          <w:color w:val="198754"/>
          <w:sz w:val="56"/>
          <w:szCs w:val="56"/>
        </w:rPr>
        <w:t xml:space="preserve">EDTA Plant</w:t>
      </w:r>
    </w:p>
    <w:p>
      <w:pPr>
        <w:spacing w:after="120"/>
        <w:jc w:val="center"/>
      </w:pPr>
      <w:r>
        <w:rPr>
          <w:color w:val="5A6B60"/>
          <w:sz w:val="17"/>
          <w:szCs w:val="17"/>
        </w:rPr>
        <w:t xml:space="preserve">edtaplant.ro</w:t>
      </w:r>
    </w:p>
    <w:p>
      <w:pPr>
        <w:pBdr>
          <w:top w:val="single" w:color="198754" w:sz="6"/>
        </w:pBdr>
        <w:spacing w:after="60"/>
        <w:jc w:val="center"/>
      </w:pPr>
    </w:p>
    <w:p>
      <w:pPr>
        <w:spacing w:after="80" w:before="200"/>
        <w:jc w:val="center"/>
      </w:pPr>
      <w:r>
        <w:rPr>
          <w:b/>
          <w:bCs/>
          <w:color w:val="1F2F26"/>
          <w:sz w:val="44"/>
          <w:szCs w:val="44"/>
        </w:rPr>
        <w:t xml:space="preserve">Ghid tehnic de analiză foliară</w:t>
      </w:r>
    </w:p>
    <w:p>
      <w:pPr>
        <w:spacing w:after="60"/>
        <w:jc w:val="center"/>
      </w:pPr>
      <w:r>
        <w:rPr>
          <w:color w:val="0F5C3F"/>
          <w:sz w:val="30"/>
          <w:szCs w:val="30"/>
        </w:rPr>
        <w:t xml:space="preserve">Nuc soiul Franquette</w:t>
      </w:r>
    </w:p>
    <w:p>
      <w:pPr>
        <w:spacing w:after="80"/>
        <w:jc w:val="center"/>
      </w:pPr>
      <w:r>
        <w:rPr>
          <w:i/>
          <w:iCs/>
          <w:color w:val="5A6B60"/>
          <w:sz w:val="20"/>
          <w:szCs w:val="20"/>
        </w:rPr>
        <w:t xml:space="preserve">Juglans regia · Ediția 1 (Iulie 2026)</w:t>
      </w:r>
    </w:p>
    <w:p>
      <w:pPr>
        <w:spacing w:after="120" w:before="120"/>
        <w:jc w:val="center"/>
      </w:pPr>
      <w:r>
        <w:rPr>
          <w:b/>
          <w:bCs/>
          <w:color w:val="FFFFFF"/>
          <w:sz w:val="17"/>
          <w:szCs w:val="17"/>
          <w:shd w:color="B45309" w:val="solid"/>
        </w:rPr>
        <w:t xml:space="preserve">  Previzualizare — extras din documentul integral  </w:t>
      </w:r>
    </w:p>
    <w:tbl>
      <w:tblPr>
        <w:tblW w:type="pct" w:w="70%"/>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40%"/>
            <w:tcBorders>
              <w:top w:val="single" w:color="D7E2DA" w:sz="4"/>
              <w:left w:val="single" w:color="D7E2DA" w:sz="4"/>
              <w:bottom w:val="single" w:color="D7E2DA" w:sz="4"/>
              <w:right w:val="single" w:color="D7E2DA" w:sz="4"/>
            </w:tcBorders>
            <w:tcMar>
              <w:top w:type="dxa" w:w="80"/>
              <w:left w:type="dxa" w:w="140"/>
              <w:bottom w:type="dxa" w:w="80"/>
              <w:right w:type="dxa" w:w="140"/>
            </w:tcMar>
          </w:tcPr>
          <w:p>
            <w:r>
              <w:rPr>
                <w:b/>
                <w:bCs/>
                <w:color w:val="5A6B60"/>
                <w:sz w:val="17"/>
                <w:szCs w:val="17"/>
              </w:rPr>
              <w:t xml:space="preserve">Generat</w:t>
            </w:r>
          </w:p>
        </w:tc>
        <w:tc>
          <w:tcPr>
            <w:tcBorders>
              <w:top w:val="single" w:color="D7E2DA" w:sz="4"/>
              <w:left w:val="single" w:color="D7E2DA" w:sz="4"/>
              <w:bottom w:val="single" w:color="D7E2DA" w:sz="4"/>
              <w:right w:val="single" w:color="D7E2DA" w:sz="4"/>
            </w:tcBorders>
            <w:tcMar>
              <w:top w:type="dxa" w:w="80"/>
              <w:left w:type="dxa" w:w="140"/>
              <w:bottom w:type="dxa" w:w="80"/>
              <w:right w:type="dxa" w:w="140"/>
            </w:tcMar>
          </w:tcPr>
          <w:p>
            <w:r>
              <w:rPr>
                <w:color w:val="1F2F26"/>
                <w:sz w:val="17"/>
                <w:szCs w:val="17"/>
              </w:rPr>
              <w:t xml:space="preserve">16 octombrie 2026</w:t>
            </w:r>
          </w:p>
        </w:tc>
      </w:tr>
      <w:tr>
        <w:tc>
          <w:tcPr>
            <w:tcW w:type="pct" w:w="40%"/>
            <w:tcBorders>
              <w:top w:val="single" w:color="D7E2DA" w:sz="4"/>
              <w:left w:val="single" w:color="D7E2DA" w:sz="4"/>
              <w:bottom w:val="single" w:color="D7E2DA" w:sz="4"/>
              <w:right w:val="single" w:color="D7E2DA" w:sz="4"/>
            </w:tcBorders>
            <w:tcMar>
              <w:top w:type="dxa" w:w="80"/>
              <w:left w:type="dxa" w:w="140"/>
              <w:bottom w:type="dxa" w:w="80"/>
              <w:right w:type="dxa" w:w="140"/>
            </w:tcMar>
          </w:tcPr>
          <w:p>
            <w:r>
              <w:rPr>
                <w:b/>
                <w:bCs/>
                <w:color w:val="5A6B60"/>
                <w:sz w:val="17"/>
                <w:szCs w:val="17"/>
              </w:rPr>
              <w:t xml:space="preserve">Sursă</w:t>
            </w:r>
          </w:p>
        </w:tc>
        <w:tc>
          <w:tcPr>
            <w:tcBorders>
              <w:top w:val="single" w:color="D7E2DA" w:sz="4"/>
              <w:left w:val="single" w:color="D7E2DA" w:sz="4"/>
              <w:bottom w:val="single" w:color="D7E2DA" w:sz="4"/>
              <w:right w:val="single" w:color="D7E2DA" w:sz="4"/>
            </w:tcBorders>
            <w:tcMar>
              <w:top w:type="dxa" w:w="80"/>
              <w:left w:type="dxa" w:w="140"/>
              <w:bottom w:type="dxa" w:w="80"/>
              <w:right w:type="dxa" w:w="140"/>
            </w:tcMar>
          </w:tcPr>
          <w:p>
            <w:r>
              <w:rPr>
                <w:color w:val="1F2F26"/>
                <w:sz w:val="17"/>
                <w:szCs w:val="17"/>
              </w:rPr>
              <w:t xml:space="preserve">Standardele partajate EDTA</w:t>
            </w:r>
          </w:p>
        </w:tc>
      </w:tr>
      <w:tr>
        <w:tc>
          <w:tcPr>
            <w:tcW w:type="pct" w:w="40%"/>
            <w:tcBorders>
              <w:top w:val="single" w:color="D7E2DA" w:sz="4"/>
              <w:left w:val="single" w:color="D7E2DA" w:sz="4"/>
              <w:bottom w:val="single" w:color="D7E2DA" w:sz="4"/>
              <w:right w:val="single" w:color="D7E2DA" w:sz="4"/>
            </w:tcBorders>
            <w:tcMar>
              <w:top w:type="dxa" w:w="80"/>
              <w:left w:type="dxa" w:w="140"/>
              <w:bottom w:type="dxa" w:w="80"/>
              <w:right w:type="dxa" w:w="140"/>
            </w:tcMar>
          </w:tcPr>
          <w:p>
            <w:r>
              <w:rPr>
                <w:b/>
                <w:bCs/>
                <w:color w:val="5A6B60"/>
                <w:sz w:val="17"/>
                <w:szCs w:val="17"/>
              </w:rPr>
              <w:t xml:space="preserve">Consultanță</w:t>
            </w:r>
          </w:p>
        </w:tc>
        <w:tc>
          <w:tcPr>
            <w:tcBorders>
              <w:top w:val="single" w:color="D7E2DA" w:sz="4"/>
              <w:left w:val="single" w:color="D7E2DA" w:sz="4"/>
              <w:bottom w:val="single" w:color="D7E2DA" w:sz="4"/>
              <w:right w:val="single" w:color="D7E2DA" w:sz="4"/>
            </w:tcBorders>
            <w:tcMar>
              <w:top w:type="dxa" w:w="80"/>
              <w:left w:type="dxa" w:w="140"/>
              <w:bottom w:type="dxa" w:w="80"/>
              <w:right w:type="dxa" w:w="140"/>
            </w:tcMar>
          </w:tcPr>
          <w:p>
            <w:r>
              <w:rPr>
                <w:color w:val="1F2F26"/>
                <w:sz w:val="17"/>
                <w:szCs w:val="17"/>
              </w:rPr>
              <w:t xml:space="preserve">Nutriția plantelor 0729 857 947</w:t>
            </w:r>
          </w:p>
        </w:tc>
      </w:tr>
      <w:tr>
        <w:tc>
          <w:tcPr>
            <w:tcW w:type="pct" w:w="40%"/>
            <w:tcBorders>
              <w:top w:val="single" w:color="D7E2DA" w:sz="4"/>
              <w:left w:val="single" w:color="D7E2DA" w:sz="4"/>
              <w:bottom w:val="single" w:color="D7E2DA" w:sz="4"/>
              <w:right w:val="single" w:color="D7E2DA" w:sz="4"/>
            </w:tcBorders>
            <w:tcMar>
              <w:top w:type="dxa" w:w="80"/>
              <w:left w:type="dxa" w:w="140"/>
              <w:bottom w:type="dxa" w:w="80"/>
              <w:right w:type="dxa" w:w="140"/>
            </w:tcMar>
          </w:tcPr>
          <w:p>
            <w:r>
              <w:rPr>
                <w:b/>
                <w:bCs/>
                <w:color w:val="5A6B60"/>
                <w:sz w:val="17"/>
                <w:szCs w:val="17"/>
              </w:rPr>
              <w:t xml:space="preserve">Suport tehnic</w:t>
            </w:r>
          </w:p>
        </w:tc>
        <w:tc>
          <w:tcPr>
            <w:tcBorders>
              <w:top w:val="single" w:color="D7E2DA" w:sz="4"/>
              <w:left w:val="single" w:color="D7E2DA" w:sz="4"/>
              <w:bottom w:val="single" w:color="D7E2DA" w:sz="4"/>
              <w:right w:val="single" w:color="D7E2DA" w:sz="4"/>
            </w:tcBorders>
            <w:tcMar>
              <w:top w:type="dxa" w:w="80"/>
              <w:left w:type="dxa" w:w="140"/>
              <w:bottom w:type="dxa" w:w="80"/>
              <w:right w:type="dxa" w:w="140"/>
            </w:tcMar>
          </w:tcPr>
          <w:p>
            <w:r>
              <w:rPr>
                <w:color w:val="1F2F26"/>
                <w:sz w:val="17"/>
                <w:szCs w:val="17"/>
              </w:rPr>
              <w:t xml:space="preserve">0723 595 983</w:t>
            </w:r>
          </w:p>
        </w:tc>
      </w:tr>
    </w:tbl>
    <w:p>
      <w:r>
        <w:br w:type="page"/>
      </w:r>
    </w:p>
    <w:p>
      <w:pPr>
        <w:pStyle w:val="Heading1"/>
      </w:pPr>
      <w:r>
        <w:t xml:space="preserve">Cuprins</w:t>
      </w:r>
    </w:p>
    <w:p>
      <w:pPr>
        <w:tabs>
          <w:tab w:val="right" w:pos="9070" w:leader="dot"/>
        </w:tabs>
        <w:spacing w:after="100"/>
      </w:pPr>
      <w:r>
        <w:rPr>
          <w:b/>
          <w:bCs/>
          <w:color w:val="0F5C3F"/>
          <w:sz w:val="19"/>
          <w:szCs w:val="19"/>
        </w:rPr>
        <w:t xml:space="preserve">1.  </w:t>
      </w:r>
      <w:r>
        <w:rPr>
          <w:color w:val="1F2F26"/>
          <w:sz w:val="19"/>
          <w:szCs w:val="19"/>
        </w:rPr>
        <w:t xml:space="preserve">Prezentarea soiului</w:t>
      </w:r>
    </w:p>
    <w:p>
      <w:pPr>
        <w:tabs>
          <w:tab w:val="right" w:pos="9070" w:leader="dot"/>
        </w:tabs>
        <w:spacing w:after="100"/>
      </w:pPr>
      <w:r>
        <w:rPr>
          <w:b/>
          <w:bCs/>
          <w:color w:val="0F5C3F"/>
          <w:sz w:val="19"/>
          <w:szCs w:val="19"/>
        </w:rPr>
        <w:t xml:space="preserve">2.  </w:t>
      </w:r>
      <w:r>
        <w:rPr>
          <w:color w:val="1F2F26"/>
          <w:sz w:val="19"/>
          <w:szCs w:val="19"/>
        </w:rPr>
        <w:t xml:space="preserve">Descriere agronomică</w:t>
      </w:r>
    </w:p>
    <w:p>
      <w:pPr>
        <w:tabs>
          <w:tab w:val="right" w:pos="9070" w:leader="dot"/>
        </w:tabs>
        <w:spacing w:after="100"/>
      </w:pPr>
      <w:r>
        <w:rPr>
          <w:b/>
          <w:bCs/>
          <w:color w:val="0F5C3F"/>
          <w:sz w:val="19"/>
          <w:szCs w:val="19"/>
        </w:rPr>
        <w:t xml:space="preserve">3.  </w:t>
      </w:r>
      <w:r>
        <w:rPr>
          <w:color w:val="1F2F26"/>
          <w:sz w:val="19"/>
          <w:szCs w:val="19"/>
        </w:rPr>
        <w:t xml:space="preserve">Recomandări tehnologice</w:t>
      </w:r>
    </w:p>
    <w:p>
      <w:pPr>
        <w:tabs>
          <w:tab w:val="right" w:pos="9070" w:leader="dot"/>
        </w:tabs>
        <w:spacing w:after="100"/>
      </w:pPr>
      <w:r>
        <w:rPr>
          <w:b/>
          <w:bCs/>
          <w:color w:val="0F5C3F"/>
          <w:sz w:val="19"/>
          <w:szCs w:val="19"/>
        </w:rPr>
        <w:t xml:space="preserve">4.  </w:t>
      </w:r>
      <w:r>
        <w:rPr>
          <w:color w:val="1F2F26"/>
          <w:sz w:val="19"/>
          <w:szCs w:val="19"/>
        </w:rPr>
        <w:t xml:space="preserve">Protocol de prelevare a probelor</w:t>
      </w:r>
    </w:p>
    <w:p>
      <w:pPr>
        <w:tabs>
          <w:tab w:val="right" w:pos="9070" w:leader="dot"/>
        </w:tabs>
        <w:spacing w:after="100"/>
      </w:pPr>
      <w:r>
        <w:rPr>
          <w:b/>
          <w:bCs/>
          <w:color w:val="0F5C3F"/>
          <w:sz w:val="19"/>
          <w:szCs w:val="19"/>
        </w:rPr>
        <w:t xml:space="preserve">5.  </w:t>
      </w:r>
      <w:r>
        <w:rPr>
          <w:color w:val="1F2F26"/>
          <w:sz w:val="19"/>
          <w:szCs w:val="19"/>
        </w:rPr>
        <w:t xml:space="preserve">Fenofaze de referință (scala BBCH)</w:t>
      </w:r>
    </w:p>
    <w:p>
      <w:pPr>
        <w:tabs>
          <w:tab w:val="right" w:pos="9070" w:leader="dot"/>
        </w:tabs>
        <w:spacing w:after="100"/>
      </w:pPr>
      <w:r>
        <w:rPr>
          <w:b/>
          <w:bCs/>
          <w:color w:val="0F5C3F"/>
          <w:sz w:val="19"/>
          <w:szCs w:val="19"/>
        </w:rPr>
        <w:t xml:space="preserve">6.  </w:t>
      </w:r>
      <w:r>
        <w:rPr>
          <w:color w:val="1F2F26"/>
          <w:sz w:val="19"/>
          <w:szCs w:val="19"/>
        </w:rPr>
        <w:t xml:space="preserve">Valori orientative — referințe agronomice ale speciei</w:t>
      </w:r>
    </w:p>
    <w:p>
      <w:pPr>
        <w:tabs>
          <w:tab w:val="right" w:pos="9070" w:leader="dot"/>
        </w:tabs>
        <w:spacing w:after="100"/>
      </w:pPr>
      <w:r>
        <w:rPr>
          <w:b/>
          <w:bCs/>
          <w:color w:val="0F5C3F"/>
          <w:sz w:val="19"/>
          <w:szCs w:val="19"/>
        </w:rPr>
        <w:t xml:space="preserve">7.  </w:t>
      </w:r>
      <w:r>
        <w:rPr>
          <w:color w:val="1F2F26"/>
          <w:sz w:val="19"/>
          <w:szCs w:val="19"/>
        </w:rPr>
        <w:t xml:space="preserve">Simptome de carență, exces și impact asupra producției</w:t>
      </w:r>
    </w:p>
    <w:p>
      <w:pPr>
        <w:tabs>
          <w:tab w:val="right" w:pos="9070" w:leader="dot"/>
        </w:tabs>
        <w:spacing w:after="100"/>
      </w:pPr>
      <w:r>
        <w:rPr>
          <w:b/>
          <w:bCs/>
          <w:color w:val="0F5C3F"/>
          <w:sz w:val="19"/>
          <w:szCs w:val="19"/>
        </w:rPr>
        <w:t xml:space="preserve">8.  </w:t>
      </w:r>
      <w:r>
        <w:rPr>
          <w:color w:val="1F2F26"/>
          <w:sz w:val="19"/>
          <w:szCs w:val="19"/>
        </w:rPr>
        <w:t xml:space="preserve">Întrebări frecvente despre soiul Franquette</w:t>
      </w:r>
    </w:p>
    <w:p>
      <w:pPr>
        <w:tabs>
          <w:tab w:val="right" w:pos="9070" w:leader="dot"/>
        </w:tabs>
        <w:spacing w:after="100"/>
      </w:pPr>
      <w:r>
        <w:rPr>
          <w:b/>
          <w:bCs/>
          <w:color w:val="0F5C3F"/>
          <w:sz w:val="19"/>
          <w:szCs w:val="19"/>
        </w:rPr>
        <w:t xml:space="preserve">9.  </w:t>
      </w:r>
      <w:r>
        <w:rPr>
          <w:color w:val="1F2F26"/>
          <w:sz w:val="19"/>
          <w:szCs w:val="19"/>
        </w:rPr>
        <w:t xml:space="preserve">Surse &amp; referințe</w:t>
      </w:r>
    </w:p>
    <w:p>
      <w:pPr>
        <w:tabs>
          <w:tab w:val="right" w:pos="9070" w:leader="dot"/>
        </w:tabs>
        <w:spacing w:after="100"/>
      </w:pPr>
      <w:r>
        <w:rPr>
          <w:b/>
          <w:bCs/>
          <w:color w:val="0F5C3F"/>
          <w:sz w:val="19"/>
          <w:szCs w:val="19"/>
        </w:rPr>
        <w:t xml:space="preserve">10.  </w:t>
      </w:r>
      <w:r>
        <w:rPr>
          <w:color w:val="1F2F26"/>
          <w:sz w:val="19"/>
          <w:szCs w:val="19"/>
        </w:rPr>
        <w:t xml:space="preserve">Istoric versiuni</w:t>
      </w:r>
    </w:p>
    <w:p>
      <w:r>
        <w:br w:type="page"/>
      </w:r>
    </w:p>
    <w:p>
      <w:pPr>
        <w:pStyle w:val="Heading1"/>
        <w:spacing w:after="160" w:before="320"/>
      </w:pPr>
      <w:r>
        <w:rPr>
          <w:b/>
          <w:bCs/>
          <w:color w:val="1F2F26"/>
          <w:sz w:val="28"/>
          <w:szCs w:val="28"/>
        </w:rPr>
        <w:t xml:space="preserve">Prezentarea soiului</w:t>
      </w:r>
    </w:p>
    <w:p>
      <w:pPr>
        <w:spacing w:after="60"/>
      </w:pPr>
      <w:r>
        <w:rPr>
          <w:b/>
          <w:bCs/>
          <w:color w:val="5A6B60"/>
          <w:sz w:val="20"/>
          <w:szCs w:val="20"/>
        </w:rPr>
        <w:t xml:space="preserve">Cultura: </w:t>
      </w:r>
      <w:r>
        <w:rPr>
          <w:color w:val="1F2F26"/>
          <w:sz w:val="20"/>
          <w:szCs w:val="20"/>
        </w:rPr>
        <w:t xml:space="preserve">Nuc (Juglans regia)</w:t>
      </w:r>
    </w:p>
    <w:p>
      <w:pPr>
        <w:spacing w:after="60"/>
      </w:pPr>
      <w:r>
        <w:rPr>
          <w:b/>
          <w:bCs/>
          <w:color w:val="5A6B60"/>
          <w:sz w:val="20"/>
          <w:szCs w:val="20"/>
        </w:rPr>
        <w:t xml:space="preserve">Soiul: </w:t>
      </w:r>
      <w:r>
        <w:rPr>
          <w:color w:val="1F2F26"/>
          <w:sz w:val="20"/>
          <w:szCs w:val="20"/>
        </w:rPr>
        <w:t xml:space="preserve">Franquette</w:t>
      </w:r>
    </w:p>
    <w:p>
      <w:pPr>
        <w:spacing w:after="60"/>
      </w:pPr>
      <w:r>
        <w:rPr>
          <w:b/>
          <w:bCs/>
          <w:color w:val="5A6B60"/>
          <w:sz w:val="20"/>
          <w:szCs w:val="20"/>
        </w:rPr>
        <w:t xml:space="preserve">Origine: </w:t>
      </w:r>
      <w:r>
        <w:rPr>
          <w:color w:val="1F2F26"/>
          <w:sz w:val="20"/>
          <w:szCs w:val="20"/>
        </w:rPr>
        <w:t xml:space="preserve">Franța</w:t>
      </w:r>
    </w:p>
    <w:p>
      <w:pPr>
        <w:spacing w:after="60"/>
      </w:pPr>
      <w:r>
        <w:rPr>
          <w:b/>
          <w:bCs/>
          <w:color w:val="5A6B60"/>
          <w:sz w:val="20"/>
          <w:szCs w:val="20"/>
        </w:rPr>
        <w:t xml:space="preserve">Caracterizare scurtă: </w:t>
      </w:r>
      <w:r>
        <w:rPr>
          <w:color w:val="1F2F26"/>
          <w:sz w:val="20"/>
          <w:szCs w:val="20"/>
        </w:rPr>
        <w:t xml:space="preserve">Soi francez, înflorire târzie</w:t>
      </w:r>
    </w:p>
    <w:p>
      <w:pPr>
        <w:spacing w:after="120"/>
      </w:pPr>
      <w:r>
        <w:rPr>
          <w:color w:val="1F2F26"/>
          <w:sz w:val="20"/>
          <w:szCs w:val="20"/>
        </w:rPr>
        <w:t xml:space="preserve">Franquette este un soi clasic francez, cunoscut pentru înflorirea târzie care ajută la evitarea înghețurilor de primăvară. Fructifică predominant terminal și este frecvent folosit ca reper de calitate în plantațiile tradiționale.</w:t>
      </w:r>
    </w:p>
    <w:p>
      <w:pPr>
        <w:pStyle w:val="Heading2"/>
        <w:spacing w:after="100" w:before="200"/>
      </w:pPr>
      <w:r>
        <w:rPr>
          <w:b/>
          <w:bCs/>
          <w:color w:val="198754"/>
          <w:sz w:val="22"/>
          <w:szCs w:val="22"/>
        </w:rPr>
        <w:t xml:space="preserve">Caracteristici principale</w:t>
      </w:r>
    </w:p>
    <w:p>
      <w:pPr>
        <w:pStyle w:val="ListParagraph"/>
        <w:numPr>
          <w:ilvl w:val="0"/>
          <w:numId w:val="1"/>
        </w:numPr>
        <w:spacing w:after="60"/>
      </w:pPr>
      <w:r>
        <w:rPr>
          <w:color w:val="1F2F26"/>
          <w:sz w:val="20"/>
          <w:szCs w:val="20"/>
        </w:rPr>
        <w:t xml:space="preserve">Fructificare terminală</w:t>
      </w:r>
    </w:p>
    <w:p>
      <w:pPr>
        <w:pStyle w:val="ListParagraph"/>
        <w:numPr>
          <w:ilvl w:val="0"/>
          <w:numId w:val="1"/>
        </w:numPr>
        <w:spacing w:after="60"/>
      </w:pPr>
      <w:r>
        <w:rPr>
          <w:color w:val="1F2F26"/>
          <w:sz w:val="20"/>
          <w:szCs w:val="20"/>
        </w:rPr>
        <w:t xml:space="preserve">Înflorire târzie</w:t>
      </w:r>
    </w:p>
    <w:p>
      <w:pPr>
        <w:pStyle w:val="ListParagraph"/>
        <w:numPr>
          <w:ilvl w:val="0"/>
          <w:numId w:val="1"/>
        </w:numPr>
        <w:spacing w:after="60"/>
      </w:pPr>
      <w:r>
        <w:rPr>
          <w:color w:val="1F2F26"/>
          <w:sz w:val="20"/>
          <w:szCs w:val="20"/>
        </w:rPr>
        <w:t xml:space="preserve">Rezistent la înghețuri de primăvară</w:t>
      </w:r>
    </w:p>
    <w:p>
      <w:pPr>
        <w:pStyle w:val="ListParagraph"/>
        <w:numPr>
          <w:ilvl w:val="0"/>
          <w:numId w:val="1"/>
        </w:numPr>
        <w:spacing w:after="60"/>
      </w:pPr>
      <w:r>
        <w:rPr>
          <w:color w:val="1F2F26"/>
          <w:sz w:val="20"/>
          <w:szCs w:val="20"/>
        </w:rPr>
        <w:t xml:space="preserve">Soi de referință tradițional</w:t>
      </w:r>
    </w:p>
    <w:p>
      <w:pPr>
        <w:pStyle w:val="Heading1"/>
        <w:spacing w:after="160" w:before="320"/>
      </w:pPr>
      <w:r>
        <w:rPr>
          <w:b/>
          <w:bCs/>
          <w:color w:val="1F2F26"/>
          <w:sz w:val="28"/>
          <w:szCs w:val="28"/>
        </w:rPr>
        <w:t xml:space="preserve">Descriere agronomică</w:t>
      </w:r>
    </w:p>
    <w:p>
      <w:pPr>
        <w:pStyle w:val="Heading2"/>
        <w:spacing w:after="100" w:before="200"/>
      </w:pPr>
      <w:r>
        <w:rPr>
          <w:b/>
          <w:bCs/>
          <w:color w:val="198754"/>
          <w:sz w:val="22"/>
          <w:szCs w:val="22"/>
        </w:rPr>
        <w:t xml:space="preserve">1. Descrierea soiului Franquette și particularități agronomice</w:t>
      </w:r>
    </w:p>
    <w:p>
      <w:r>
        <w:br w:type="page"/>
      </w:r>
    </w:p>
    <w:p>
      <w:pPr>
        <w:spacing w:after="240" w:before="1800"/>
        <w:jc w:val="center"/>
      </w:pPr>
      <w:r>
        <w:rPr>
          <w:sz w:val="72"/>
          <w:szCs w:val="72"/>
        </w:rPr>
        <w:t xml:space="preserve">🔒</w:t>
      </w:r>
    </w:p>
    <w:p>
      <w:pPr>
        <w:spacing w:after="240"/>
        <w:jc w:val="center"/>
      </w:pPr>
      <w:r>
        <w:rPr>
          <w:b/>
          <w:bCs/>
          <w:color w:val="1F2F26"/>
          <w:sz w:val="30"/>
          <w:szCs w:val="30"/>
        </w:rPr>
        <w:t xml:space="preserve">Accesul complet la acest document este disponibil doar în varianta integrală.</w:t>
      </w:r>
    </w:p>
    <w:p>
      <w:pPr>
        <w:spacing w:after="240"/>
        <w:jc w:val="center"/>
      </w:pPr>
      <w:r>
        <w:rPr>
          <w:color w:val="5A6B60"/>
          <w:sz w:val="22"/>
          <w:szCs w:val="22"/>
        </w:rPr>
        <w:t xml:space="preserve">Acesta reprezintă un material tehnic profesional elaborat de echipa EDTA Plant și conține informații complete privind metodologia, interpretarea rezultatelor, recomandările tehnice și valorile de referință.</w:t>
      </w:r>
    </w:p>
    <w:p>
      <w:pPr>
        <w:spacing w:after="360"/>
        <w:jc w:val="center"/>
      </w:pPr>
      <w:r>
        <w:rPr>
          <w:b/>
          <w:bCs/>
          <w:color w:val="198754"/>
          <w:sz w:val="24"/>
          <w:szCs w:val="24"/>
        </w:rPr>
        <w:t xml:space="preserve">📩 Versiunea completă poate fi achiziționată online, direct de pe edtaplant.ro — acces instantaneu după confirmarea plății.</w:t>
      </w:r>
    </w:p>
    <w:p>
      <w:pPr>
        <w:jc w:val="center"/>
      </w:pPr>
      <w:r>
        <w:rPr>
          <w:color w:val="5A6B60"/>
          <w:sz w:val="20"/>
          <w:szCs w:val="20"/>
        </w:rPr>
        <w:t xml:space="preserve">Consultanță · Nutriția plantelor 0729 857 947   ·   Suport tehnic 0723 595 983   ·   edtaplant.ro/contact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F26"/>
        <w:sz w:val="20"/>
        <w:szCs w:val="20"/>
      </w:rPr>
    </w:rPrDefault>
    <w:pPrDefault>
      <w:pPr>
        <w:spacing w:after="12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198754" w:sz="4"/>
      </w:pBdr>
      <w:spacing w:after="140" w:before="280"/>
    </w:pPr>
    <w:rPr>
      <w:b/>
      <w:bCs/>
      <w:color w:val="1F2F26"/>
      <w:sz w:val="28"/>
      <w:szCs w:val="28"/>
    </w:rPr>
  </w:style>
  <w:style w:type="paragraph" w:styleId="Heading2">
    <w:name w:val="Heading 2"/>
    <w:basedOn w:val="Normal"/>
    <w:next w:val="Normal"/>
    <w:qFormat/>
    <w:pPr>
      <w:spacing w:after="100" w:before="200"/>
    </w:pPr>
    <w:rPr>
      <w:b/>
      <w:bCs/>
      <w:color w:val="198754"/>
      <w:sz w:val="22"/>
      <w:szCs w:val="22"/>
    </w:rPr>
  </w:style>
  <w:style w:type="paragraph" w:styleId="Heading3">
    <w:name w:val="Heading 3"/>
    <w:basedOn w:val="Normal"/>
    <w:next w:val="Normal"/>
    <w:qFormat/>
    <w:pPr>
      <w:spacing w:after="60" w:before="140"/>
    </w:pPr>
    <w:rPr>
      <w:b/>
      <w:bCs/>
      <w:color w:val="0F5C3F"/>
      <w:sz w:val="19"/>
      <w:szCs w:val="19"/>
    </w:rPr>
  </w:style>
  <w:style w:type="paragraph" w:styleId="Normal">
    <w:name w:val="Normal"/>
    <w:pPr>
      <w:spacing w:after="80" w:line="276" w:lineRule="auto"/>
      <w:jc w:val="both"/>
    </w:pPr>
    <w:rPr>
      <w:rFonts w:ascii="Calibri" w:cs="Calibri" w:eastAsia="Calibri" w:hAnsi="Calibri"/>
      <w:color w:val="1F2F26"/>
      <w:sz w:val="18"/>
      <w:szCs w:val="18"/>
    </w:rPr>
  </w:style>
  <w:style w:type="paragraph" w:styleId="Caption">
    <w:name w:val="Caption"/>
    <w:basedOn w:val="Normal"/>
    <w:pPr>
      <w:spacing w:after="120" w:before="60"/>
      <w:jc w:val="center"/>
    </w:pPr>
    <w:rPr>
      <w:i/>
      <w:iCs/>
      <w:color w:val="5A6B60"/>
      <w:sz w:val="16"/>
      <w:szCs w:val="16"/>
    </w:rPr>
  </w:style>
  <w:style w:type="paragraph" w:styleId="TableHeader">
    <w:name w:val="Table Header"/>
    <w:basedOn w:val="Normal"/>
    <w:pPr>
      <w:spacing w:after="0"/>
    </w:pPr>
    <w:rPr>
      <w:b/>
      <w:bCs/>
      <w:color w:val="FFFFFF"/>
      <w:sz w:val="17"/>
      <w:szCs w:val="17"/>
    </w:rPr>
  </w:style>
  <w:style w:type="paragraph" w:styleId="TableCell">
    <w:name w:val="Table Cell"/>
    <w:basedOn w:val="Normal"/>
    <w:pPr>
      <w:spacing w:after="0"/>
    </w:pPr>
    <w:rPr>
      <w:color w:val="1F2F26"/>
      <w:sz w:val="17"/>
      <w:szCs w:val="17"/>
    </w:rPr>
  </w:style>
  <w:style w:type="paragraph" w:styleId="FooterText">
    <w:name w:val="Footer Text"/>
    <w:basedOn w:val="Normal"/>
    <w:pPr>
      <w:spacing w:after="0"/>
      <w:jc w:val="left"/>
    </w:pPr>
    <w:rPr>
      <w:color w:val="5A6B60"/>
      <w:sz w:val="15"/>
      <w:szCs w:val="15"/>
    </w:rPr>
  </w:style>
  <w:style w:type="paragraph" w:styleId="EditorialBox">
    <w:name w:val="Editorial Box"/>
    <w:basedOn w:val="Normal"/>
    <w:pPr>
      <w:pBdr>
        <w:left w:val="thick" w:color="198754" w:sz="12"/>
      </w:pBdr>
      <w:shd w:color="EEF5F0" w:val="solid"/>
      <w:spacing w:after="60" w:before="60"/>
      <w:ind w:left="340"/>
    </w:pPr>
    <w:rPr>
      <w:color w:val="1F2F26"/>
      <w:sz w:val="18"/>
      <w:szCs w:val="1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Ghid tehnic de analiză foliară — Nuc soiul Franquette</dc:title>
  <dc:subject>Nuc soiul Franquette</dc:subject>
  <dc:creator>EDTA Plant</dc:creator>
  <cp:keywords>EDTA Plant, edtaplant.ro</cp:keywords>
  <cp:lastModifiedBy>EDTA Plant</cp:lastModifiedBy>
  <cp:revision>1</cp:revision>
  <dcterms:created xsi:type="dcterms:W3CDTF">2026-10-16T16:05:54.003Z</dcterms:created>
  <dcterms:modified xsi:type="dcterms:W3CDTF">2026-10-16T16:05:54.003Z</dcterms:modified>
</cp:coreProperties>
</file>

<file path=docProps/custom.xml><?xml version="1.0" encoding="utf-8"?>
<Properties xmlns="http://schemas.openxmlformats.org/officeDocument/2006/custom-properties" xmlns:vt="http://schemas.openxmlformats.org/officeDocument/2006/docPropsVTypes"/>
</file>